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03"/>
      </w:tblGrid>
      <w:tr w:rsidR="001F46AF" w:rsidRPr="007D03A1" w:rsidTr="009B6633">
        <w:tc>
          <w:tcPr>
            <w:tcW w:w="5353" w:type="dxa"/>
            <w:vAlign w:val="bottom"/>
          </w:tcPr>
          <w:p w:rsidR="009B6633" w:rsidRPr="00A40408" w:rsidRDefault="009B6633" w:rsidP="009B6633">
            <w:pPr>
              <w:rPr>
                <w:rFonts w:ascii="Verdana" w:hAnsi="Verdana"/>
                <w:sz w:val="20"/>
                <w:szCs w:val="20"/>
              </w:rPr>
            </w:pPr>
            <w:bookmarkStart w:id="0" w:name="Text5"/>
            <w:bookmarkStart w:id="1" w:name="_GoBack"/>
            <w:bookmarkEnd w:id="1"/>
          </w:p>
          <w:p w:rsidR="009B6633" w:rsidRPr="00A40408" w:rsidRDefault="009B6633" w:rsidP="009B6633">
            <w:pPr>
              <w:rPr>
                <w:rFonts w:ascii="Verdana" w:hAnsi="Verdana"/>
                <w:sz w:val="20"/>
                <w:szCs w:val="20"/>
              </w:rPr>
            </w:pPr>
          </w:p>
          <w:bookmarkEnd w:id="0"/>
          <w:p w:rsidR="001F46AF" w:rsidRPr="00A40408" w:rsidRDefault="001F46AF" w:rsidP="009B6633">
            <w:pPr>
              <w:pStyle w:val="Kopfzeile"/>
              <w:tabs>
                <w:tab w:val="clear" w:pos="4536"/>
                <w:tab w:val="clear" w:pos="9072"/>
                <w:tab w:val="left" w:pos="7680"/>
              </w:tabs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:rsidR="001F46AF" w:rsidRPr="00632C92" w:rsidRDefault="001F46AF" w:rsidP="005A71B2">
            <w:pPr>
              <w:pStyle w:val="Kopfzeile"/>
              <w:tabs>
                <w:tab w:val="clear" w:pos="4536"/>
                <w:tab w:val="clear" w:pos="9072"/>
              </w:tabs>
              <w:ind w:left="-108"/>
              <w:rPr>
                <w:rFonts w:ascii="Verdana" w:hAnsi="Verdana"/>
                <w:sz w:val="14"/>
                <w:szCs w:val="14"/>
              </w:rPr>
            </w:pPr>
            <w:r w:rsidRPr="00632C92">
              <w:rPr>
                <w:rFonts w:ascii="Verdana" w:hAnsi="Verdana"/>
                <w:sz w:val="14"/>
                <w:szCs w:val="14"/>
              </w:rPr>
              <w:t>Honeywell-Platz 1</w:t>
            </w:r>
            <w:r w:rsidR="00053CE9" w:rsidRPr="00632C92">
              <w:rPr>
                <w:rFonts w:ascii="Verdana" w:hAnsi="Verdana"/>
                <w:sz w:val="14"/>
                <w:szCs w:val="14"/>
              </w:rPr>
              <w:t xml:space="preserve"> / </w:t>
            </w:r>
            <w:r w:rsidRPr="00632C92">
              <w:rPr>
                <w:rFonts w:ascii="Verdana" w:hAnsi="Verdana"/>
                <w:sz w:val="14"/>
                <w:szCs w:val="14"/>
              </w:rPr>
              <w:t>Postfach 9</w:t>
            </w:r>
          </w:p>
          <w:p w:rsidR="001F46AF" w:rsidRPr="00632C92" w:rsidRDefault="001F46AF" w:rsidP="005A71B2">
            <w:pPr>
              <w:pStyle w:val="Kopfzeile"/>
              <w:tabs>
                <w:tab w:val="clear" w:pos="4536"/>
                <w:tab w:val="clear" w:pos="9072"/>
              </w:tabs>
              <w:ind w:left="-108"/>
              <w:rPr>
                <w:rFonts w:ascii="Verdana" w:hAnsi="Verdana"/>
                <w:sz w:val="14"/>
                <w:szCs w:val="14"/>
              </w:rPr>
            </w:pPr>
            <w:r w:rsidRPr="00632C92">
              <w:rPr>
                <w:rFonts w:ascii="Verdana" w:hAnsi="Verdana"/>
                <w:sz w:val="14"/>
                <w:szCs w:val="14"/>
              </w:rPr>
              <w:t>8157 Dielsdorf</w:t>
            </w:r>
          </w:p>
          <w:p w:rsidR="001F46AF" w:rsidRPr="00632C92" w:rsidRDefault="001F46AF" w:rsidP="005A71B2">
            <w:pPr>
              <w:pStyle w:val="Kopfzeile"/>
              <w:tabs>
                <w:tab w:val="clear" w:pos="4536"/>
                <w:tab w:val="clear" w:pos="9072"/>
              </w:tabs>
              <w:ind w:left="-108"/>
              <w:rPr>
                <w:rFonts w:ascii="Verdana" w:hAnsi="Verdana"/>
                <w:sz w:val="14"/>
                <w:szCs w:val="14"/>
              </w:rPr>
            </w:pPr>
            <w:r w:rsidRPr="00632C92">
              <w:rPr>
                <w:rFonts w:ascii="Verdana" w:hAnsi="Verdana"/>
                <w:sz w:val="14"/>
                <w:szCs w:val="14"/>
              </w:rPr>
              <w:t>Telefon</w:t>
            </w:r>
            <w:r w:rsidR="00053CE9" w:rsidRPr="00632C92">
              <w:rPr>
                <w:rFonts w:ascii="Verdana" w:hAnsi="Verdana"/>
                <w:sz w:val="14"/>
                <w:szCs w:val="14"/>
              </w:rPr>
              <w:tab/>
            </w:r>
            <w:r w:rsidRPr="00632C92">
              <w:rPr>
                <w:rFonts w:ascii="Verdana" w:hAnsi="Verdana"/>
                <w:sz w:val="14"/>
                <w:szCs w:val="14"/>
              </w:rPr>
              <w:t>044 855 22 33</w:t>
            </w:r>
          </w:p>
          <w:p w:rsidR="001F46AF" w:rsidRPr="00632C92" w:rsidRDefault="001F46AF" w:rsidP="00611002">
            <w:pPr>
              <w:pStyle w:val="Kopfzeile"/>
              <w:tabs>
                <w:tab w:val="clear" w:pos="4536"/>
                <w:tab w:val="clear" w:pos="9072"/>
              </w:tabs>
              <w:ind w:left="-108"/>
              <w:rPr>
                <w:rFonts w:ascii="Verdana" w:hAnsi="Verdana"/>
                <w:sz w:val="14"/>
                <w:szCs w:val="14"/>
                <w:lang w:val="fr-CH"/>
              </w:rPr>
            </w:pPr>
            <w:r w:rsidRPr="00632C92">
              <w:rPr>
                <w:rFonts w:ascii="Verdana" w:hAnsi="Verdana"/>
                <w:sz w:val="14"/>
                <w:szCs w:val="14"/>
                <w:lang w:val="fr-CH"/>
              </w:rPr>
              <w:t xml:space="preserve">Fax </w:t>
            </w:r>
            <w:r w:rsidR="00053CE9" w:rsidRPr="00632C92">
              <w:rPr>
                <w:rFonts w:ascii="Verdana" w:hAnsi="Verdana"/>
                <w:sz w:val="14"/>
                <w:szCs w:val="14"/>
                <w:lang w:val="fr-CH"/>
              </w:rPr>
              <w:tab/>
            </w:r>
            <w:r w:rsidRPr="00632C92">
              <w:rPr>
                <w:rFonts w:ascii="Verdana" w:hAnsi="Verdana"/>
                <w:sz w:val="14"/>
                <w:szCs w:val="14"/>
                <w:lang w:val="fr-CH"/>
              </w:rPr>
              <w:t>044 855 22 39</w:t>
            </w:r>
          </w:p>
          <w:p w:rsidR="001F46AF" w:rsidRPr="00A40408" w:rsidRDefault="001F46AF" w:rsidP="00173A3F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lang w:val="fr-CH"/>
              </w:rPr>
            </w:pPr>
          </w:p>
        </w:tc>
      </w:tr>
      <w:tr w:rsidR="001F46AF" w:rsidRPr="007D03A1" w:rsidTr="00053CE9">
        <w:tc>
          <w:tcPr>
            <w:tcW w:w="5353" w:type="dxa"/>
          </w:tcPr>
          <w:p w:rsidR="001F46AF" w:rsidRPr="00A40408" w:rsidRDefault="001F46AF" w:rsidP="00053CE9">
            <w:pPr>
              <w:pStyle w:val="Kopfzeile"/>
              <w:tabs>
                <w:tab w:val="clear" w:pos="4536"/>
                <w:tab w:val="clear" w:pos="9072"/>
                <w:tab w:val="left" w:pos="8364"/>
              </w:tabs>
              <w:rPr>
                <w:rFonts w:ascii="Verdana" w:hAnsi="Verdana"/>
                <w:lang w:val="fr-CH"/>
              </w:rPr>
            </w:pPr>
          </w:p>
        </w:tc>
        <w:tc>
          <w:tcPr>
            <w:tcW w:w="5103" w:type="dxa"/>
          </w:tcPr>
          <w:p w:rsidR="001F46AF" w:rsidRPr="00A40408" w:rsidRDefault="001F46AF" w:rsidP="001F46AF">
            <w:pPr>
              <w:pStyle w:val="Kopfzeile"/>
              <w:tabs>
                <w:tab w:val="clear" w:pos="4536"/>
                <w:tab w:val="clear" w:pos="9072"/>
                <w:tab w:val="left" w:pos="7680"/>
              </w:tabs>
              <w:ind w:left="2741"/>
              <w:rPr>
                <w:rFonts w:ascii="Verdana" w:hAnsi="Verdana"/>
                <w:b/>
                <w:sz w:val="16"/>
                <w:szCs w:val="16"/>
                <w:lang w:val="fr-CH"/>
              </w:rPr>
            </w:pPr>
          </w:p>
        </w:tc>
      </w:tr>
    </w:tbl>
    <w:p w:rsidR="00655E9E" w:rsidRPr="00611002" w:rsidRDefault="00655E9E" w:rsidP="00B13F52">
      <w:pPr>
        <w:rPr>
          <w:rFonts w:ascii="Verdana" w:hAnsi="Verdana"/>
          <w:sz w:val="20"/>
          <w:szCs w:val="20"/>
          <w:lang w:val="fr-CH"/>
        </w:rPr>
      </w:pPr>
    </w:p>
    <w:p w:rsidR="00611002" w:rsidRPr="00A62B8F" w:rsidRDefault="00611002" w:rsidP="00A6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Verdana" w:eastAsiaTheme="minorHAnsi" w:hAnsi="Verdana"/>
          <w:b/>
          <w:sz w:val="36"/>
          <w:szCs w:val="22"/>
          <w:lang w:eastAsia="en-US"/>
        </w:rPr>
      </w:pPr>
      <w:r w:rsidRPr="00A62B8F">
        <w:rPr>
          <w:rFonts w:ascii="Verdana" w:eastAsiaTheme="minorHAnsi" w:hAnsi="Verdana"/>
          <w:b/>
          <w:sz w:val="36"/>
          <w:szCs w:val="22"/>
          <w:lang w:eastAsia="en-US"/>
        </w:rPr>
        <w:t>MERKBLATT</w:t>
      </w:r>
    </w:p>
    <w:p w:rsidR="00611002" w:rsidRPr="00A62B8F" w:rsidRDefault="00611002" w:rsidP="00A6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Verdana" w:eastAsiaTheme="minorHAnsi" w:hAnsi="Verdana"/>
          <w:b/>
          <w:sz w:val="36"/>
          <w:szCs w:val="22"/>
          <w:lang w:eastAsia="en-US"/>
        </w:rPr>
      </w:pPr>
      <w:r w:rsidRPr="00A62B8F">
        <w:rPr>
          <w:rFonts w:ascii="Verdana" w:eastAsiaTheme="minorHAnsi" w:hAnsi="Verdana"/>
          <w:b/>
          <w:sz w:val="36"/>
          <w:szCs w:val="22"/>
          <w:lang w:eastAsia="en-US"/>
        </w:rPr>
        <w:t>Beantragung von Zusatzleistungen</w:t>
      </w:r>
    </w:p>
    <w:p w:rsidR="00611002" w:rsidRPr="00611002" w:rsidRDefault="00611002" w:rsidP="00611002">
      <w:pPr>
        <w:pStyle w:val="Kopfzeile"/>
        <w:tabs>
          <w:tab w:val="left" w:pos="708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(Gilt für die Zusatzleistungen in allen Gemeinden des Bezirks Dielsdorf)</w:t>
      </w:r>
    </w:p>
    <w:p w:rsidR="00611002" w:rsidRPr="00A62B8F" w:rsidRDefault="00611002" w:rsidP="00611002">
      <w:pPr>
        <w:jc w:val="both"/>
        <w:rPr>
          <w:rFonts w:ascii="Verdana" w:hAnsi="Verdana"/>
          <w:sz w:val="20"/>
          <w:szCs w:val="20"/>
        </w:rPr>
      </w:pPr>
    </w:p>
    <w:p w:rsidR="00611002" w:rsidRPr="00A62B8F" w:rsidRDefault="00611002" w:rsidP="00A62B8F">
      <w:pPr>
        <w:autoSpaceDE w:val="0"/>
        <w:autoSpaceDN w:val="0"/>
        <w:adjustRightInd w:val="0"/>
        <w:spacing w:after="120" w:line="312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62B8F">
        <w:rPr>
          <w:rFonts w:ascii="Verdana" w:eastAsiaTheme="minorHAnsi" w:hAnsi="Verdana"/>
          <w:sz w:val="20"/>
          <w:szCs w:val="20"/>
          <w:lang w:eastAsia="en-US"/>
        </w:rPr>
        <w:t>Im Zusammenhang mit Zusatzleistungen</w:t>
      </w:r>
      <w:r w:rsidR="00B02CD4">
        <w:rPr>
          <w:rFonts w:ascii="Verdana" w:eastAsiaTheme="minorHAnsi" w:hAnsi="Verdana"/>
          <w:sz w:val="20"/>
          <w:szCs w:val="20"/>
          <w:lang w:eastAsia="en-US"/>
        </w:rPr>
        <w:t xml:space="preserve"> zur AHV/IV</w:t>
      </w:r>
      <w:r w:rsidRPr="00A62B8F">
        <w:rPr>
          <w:rFonts w:ascii="Verdana" w:eastAsiaTheme="minorHAnsi" w:hAnsi="Verdana"/>
          <w:sz w:val="20"/>
          <w:szCs w:val="20"/>
          <w:lang w:eastAsia="en-US"/>
        </w:rPr>
        <w:t xml:space="preserve"> von verbeiständeten Personen sind folgende Grundsätze zu beachten:</w:t>
      </w:r>
    </w:p>
    <w:p w:rsidR="00611002" w:rsidRPr="00A62B8F" w:rsidRDefault="00611002" w:rsidP="00A62B8F">
      <w:pP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B02CD4" w:rsidRDefault="00B02CD4" w:rsidP="00A62B8F">
      <w:pPr>
        <w:numPr>
          <w:ilvl w:val="0"/>
          <w:numId w:val="1"/>
        </w:num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Ergänzungsleis</w:t>
      </w:r>
      <w:r w:rsidR="004F32D8">
        <w:rPr>
          <w:rFonts w:ascii="Verdana" w:hAnsi="Verdana"/>
          <w:sz w:val="20"/>
          <w:szCs w:val="20"/>
        </w:rPr>
        <w:t>tungen</w:t>
      </w:r>
      <w:r w:rsidR="001A1745">
        <w:rPr>
          <w:rFonts w:ascii="Verdana" w:hAnsi="Verdana"/>
          <w:sz w:val="20"/>
          <w:szCs w:val="20"/>
        </w:rPr>
        <w:t xml:space="preserve"> (Zusatzleistungen)</w:t>
      </w:r>
      <w:r w:rsidR="004F32D8">
        <w:rPr>
          <w:rFonts w:ascii="Verdana" w:hAnsi="Verdana"/>
          <w:sz w:val="20"/>
          <w:szCs w:val="20"/>
        </w:rPr>
        <w:t xml:space="preserve"> haben den Zweck, zu AHV- und</w:t>
      </w:r>
      <w:r>
        <w:rPr>
          <w:rFonts w:ascii="Verdana" w:hAnsi="Verdana"/>
          <w:sz w:val="20"/>
          <w:szCs w:val="20"/>
        </w:rPr>
        <w:t xml:space="preserve"> IV-Renten den bundesrechtlich bestimmten Mindest-Lebensbedarf zu sichern.</w:t>
      </w:r>
    </w:p>
    <w:p w:rsidR="0044306A" w:rsidRDefault="00B02CD4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62B8F">
        <w:rPr>
          <w:rFonts w:ascii="Verdana" w:hAnsi="Verdana"/>
          <w:sz w:val="20"/>
          <w:szCs w:val="20"/>
        </w:rPr>
        <w:t>Der Anspruch</w:t>
      </w:r>
      <w:r>
        <w:rPr>
          <w:rFonts w:ascii="Verdana" w:hAnsi="Verdana"/>
          <w:sz w:val="20"/>
          <w:szCs w:val="20"/>
        </w:rPr>
        <w:t xml:space="preserve"> auf Ergänzungsleistungen</w:t>
      </w:r>
      <w:r w:rsidRPr="00A62B8F">
        <w:rPr>
          <w:rFonts w:ascii="Verdana" w:hAnsi="Verdana"/>
          <w:sz w:val="20"/>
          <w:szCs w:val="20"/>
        </w:rPr>
        <w:t xml:space="preserve"> berechnet sich aus </w:t>
      </w:r>
      <w:r>
        <w:rPr>
          <w:rFonts w:ascii="Verdana" w:hAnsi="Verdana"/>
          <w:sz w:val="20"/>
          <w:szCs w:val="20"/>
        </w:rPr>
        <w:t>den anerkannten Ausgaben minus die anrechenbaren Einnahmen</w:t>
      </w:r>
    </w:p>
    <w:p w:rsidR="00B02CD4" w:rsidRDefault="00B02CD4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62B8F">
        <w:rPr>
          <w:rFonts w:ascii="Verdana" w:hAnsi="Verdana"/>
          <w:sz w:val="20"/>
          <w:szCs w:val="20"/>
        </w:rPr>
        <w:t>Die Zusatzleistungsstelle zur AHV/IV der jeweiligen Gemeinde erteilt weitere Auskünfte</w:t>
      </w:r>
      <w:r w:rsidR="004F32D8">
        <w:rPr>
          <w:rFonts w:ascii="Verdana" w:hAnsi="Verdana"/>
          <w:sz w:val="20"/>
          <w:szCs w:val="20"/>
        </w:rPr>
        <w:t>.</w:t>
      </w:r>
      <w:r w:rsidR="0044306A">
        <w:rPr>
          <w:rFonts w:ascii="Verdana" w:hAnsi="Verdana"/>
          <w:sz w:val="20"/>
          <w:szCs w:val="20"/>
        </w:rPr>
        <w:t xml:space="preserve"> Siehe Seite 2.</w:t>
      </w:r>
    </w:p>
    <w:p w:rsidR="004F32D8" w:rsidRDefault="004F32D8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Ergänzungsleistung beginnt grundsätzlich in dem Monat, in dem die Anmeldung eingereicht worden ist und erlischt auf Ende des Monats, in dem der Anspruch dahin gefallen ist. </w:t>
      </w:r>
      <w:r w:rsidR="001A1745">
        <w:rPr>
          <w:rFonts w:ascii="Verdana" w:hAnsi="Verdana"/>
          <w:sz w:val="20"/>
          <w:szCs w:val="20"/>
        </w:rPr>
        <w:t xml:space="preserve">Die Ergänzungsleistung wird nur dann </w:t>
      </w:r>
      <w:r w:rsidR="0044306A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ückwirk</w:t>
      </w:r>
      <w:r w:rsidR="001A1745">
        <w:rPr>
          <w:rFonts w:ascii="Verdana" w:hAnsi="Verdana"/>
          <w:sz w:val="20"/>
          <w:szCs w:val="20"/>
        </w:rPr>
        <w:t xml:space="preserve">end ausbezahlt, </w:t>
      </w:r>
      <w:r>
        <w:rPr>
          <w:rFonts w:ascii="Verdana" w:hAnsi="Verdana"/>
          <w:sz w:val="20"/>
          <w:szCs w:val="20"/>
        </w:rPr>
        <w:t xml:space="preserve">wenn </w:t>
      </w:r>
      <w:r w:rsidR="001A1745">
        <w:rPr>
          <w:rFonts w:ascii="Verdana" w:hAnsi="Verdana"/>
          <w:sz w:val="20"/>
          <w:szCs w:val="20"/>
        </w:rPr>
        <w:t xml:space="preserve">sie </w:t>
      </w:r>
      <w:r>
        <w:rPr>
          <w:rFonts w:ascii="Verdana" w:hAnsi="Verdana"/>
          <w:sz w:val="20"/>
          <w:szCs w:val="20"/>
        </w:rPr>
        <w:t>innert sechs Monaten nach einer AHV- oder IV-Verfügung angemeldet wird.</w:t>
      </w:r>
    </w:p>
    <w:p w:rsidR="00611002" w:rsidRPr="00A62B8F" w:rsidRDefault="00611002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62B8F">
        <w:rPr>
          <w:rFonts w:ascii="Verdana" w:hAnsi="Verdana"/>
          <w:sz w:val="20"/>
          <w:szCs w:val="20"/>
        </w:rPr>
        <w:t>Bezieht die betroffene Person ber</w:t>
      </w:r>
      <w:r w:rsidR="004F32D8">
        <w:rPr>
          <w:rFonts w:ascii="Verdana" w:hAnsi="Verdana"/>
          <w:sz w:val="20"/>
          <w:szCs w:val="20"/>
        </w:rPr>
        <w:t>eits Ergänzungsleistungen</w:t>
      </w:r>
      <w:r w:rsidRPr="00A62B8F">
        <w:rPr>
          <w:rFonts w:ascii="Verdana" w:hAnsi="Verdana"/>
          <w:sz w:val="20"/>
          <w:szCs w:val="20"/>
        </w:rPr>
        <w:t>, sind alle Veränderungen wie zum Beispiel Heimtaxen-Erhöhungen, Mieterhöhungen, Erhalt von Erbschaften, Wech</w:t>
      </w:r>
      <w:r w:rsidR="004F32D8">
        <w:rPr>
          <w:rFonts w:ascii="Verdana" w:hAnsi="Verdana"/>
          <w:sz w:val="20"/>
          <w:szCs w:val="20"/>
        </w:rPr>
        <w:t>sel von der Wohnung ins Heim etc.,</w:t>
      </w:r>
      <w:r w:rsidRPr="00A62B8F">
        <w:rPr>
          <w:rFonts w:ascii="Verdana" w:hAnsi="Verdana"/>
          <w:sz w:val="20"/>
          <w:szCs w:val="20"/>
        </w:rPr>
        <w:t xml:space="preserve"> im gleichen Monat der Zusatzleistungsstelle zur AHV/IV zu melden. Die Neuberechnung der Leistungen gilt immer erst ab Meldedatum. </w:t>
      </w:r>
      <w:r w:rsidR="00BB3413">
        <w:rPr>
          <w:rFonts w:ascii="Verdana" w:hAnsi="Verdana"/>
          <w:sz w:val="20"/>
          <w:szCs w:val="20"/>
        </w:rPr>
        <w:t>Es gibt keine Nachzahlungen bei zu später Meldung.</w:t>
      </w:r>
    </w:p>
    <w:p w:rsidR="00611002" w:rsidRPr="00A62B8F" w:rsidRDefault="007D1CA5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Besteht noch keine Anmeldung bei den Ergänzungsleistungen, dann ist bei</w:t>
      </w:r>
      <w:r w:rsidR="00611002" w:rsidRPr="00A62B8F">
        <w:rPr>
          <w:rFonts w:ascii="Verdana" w:hAnsi="Verdana"/>
          <w:sz w:val="20"/>
          <w:szCs w:val="20"/>
        </w:rPr>
        <w:t xml:space="preserve"> Wechsel von einer selbstbewohnten Woh</w:t>
      </w:r>
      <w:r>
        <w:rPr>
          <w:rFonts w:ascii="Verdana" w:hAnsi="Verdana"/>
          <w:sz w:val="20"/>
          <w:szCs w:val="20"/>
        </w:rPr>
        <w:t xml:space="preserve">nung ins Heim, </w:t>
      </w:r>
      <w:r w:rsidR="00611002" w:rsidRPr="00A62B8F">
        <w:rPr>
          <w:rFonts w:ascii="Verdana" w:hAnsi="Verdana"/>
          <w:sz w:val="20"/>
          <w:szCs w:val="20"/>
        </w:rPr>
        <w:t>immer sofort die Zusatzleistungsstelle zur AHV/IV zu benachrichtigen und eine Anmeldung für den Bezug von Leistungen einzureichen, da es sich hierbei um eine massgebende Änderung der finanziellen Situation handelt.</w:t>
      </w:r>
    </w:p>
    <w:p w:rsidR="00611002" w:rsidRDefault="00611002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62B8F">
        <w:rPr>
          <w:rFonts w:ascii="Verdana" w:hAnsi="Verdana"/>
          <w:sz w:val="20"/>
          <w:szCs w:val="20"/>
        </w:rPr>
        <w:t>Die ungedeckten Krankheits- und Behinderungskosten sowie Zahnarzt</w:t>
      </w:r>
      <w:r w:rsidR="006E7B20" w:rsidRPr="00A62B8F">
        <w:rPr>
          <w:rFonts w:ascii="Verdana" w:hAnsi="Verdana"/>
          <w:sz w:val="20"/>
          <w:szCs w:val="20"/>
        </w:rPr>
        <w:t>-</w:t>
      </w:r>
      <w:r w:rsidRPr="00A62B8F">
        <w:rPr>
          <w:rFonts w:ascii="Verdana" w:hAnsi="Verdana"/>
          <w:sz w:val="20"/>
          <w:szCs w:val="20"/>
        </w:rPr>
        <w:t xml:space="preserve"> und Transport</w:t>
      </w:r>
      <w:r w:rsidR="006E7B20" w:rsidRPr="00A62B8F">
        <w:rPr>
          <w:rFonts w:ascii="Verdana" w:hAnsi="Verdana"/>
          <w:sz w:val="20"/>
          <w:szCs w:val="20"/>
        </w:rPr>
        <w:t>kosten</w:t>
      </w:r>
      <w:r w:rsidR="001023EE">
        <w:rPr>
          <w:rFonts w:ascii="Verdana" w:hAnsi="Verdana"/>
          <w:sz w:val="20"/>
          <w:szCs w:val="20"/>
        </w:rPr>
        <w:t xml:space="preserve"> zum Arzt, Sanitätstransporte</w:t>
      </w:r>
      <w:r w:rsidR="006E7B20" w:rsidRPr="00A62B8F">
        <w:rPr>
          <w:rFonts w:ascii="Verdana" w:hAnsi="Verdana"/>
          <w:sz w:val="20"/>
          <w:szCs w:val="20"/>
        </w:rPr>
        <w:t>,</w:t>
      </w:r>
      <w:r w:rsidRPr="00A62B8F">
        <w:rPr>
          <w:rFonts w:ascii="Verdana" w:hAnsi="Verdana"/>
          <w:sz w:val="20"/>
          <w:szCs w:val="20"/>
        </w:rPr>
        <w:t xml:space="preserve"> </w:t>
      </w:r>
      <w:r w:rsidR="001023EE">
        <w:rPr>
          <w:rFonts w:ascii="Verdana" w:hAnsi="Verdana"/>
          <w:sz w:val="20"/>
          <w:szCs w:val="20"/>
        </w:rPr>
        <w:t xml:space="preserve">Spitex-Haushalthilfe </w:t>
      </w:r>
      <w:r w:rsidRPr="00A62B8F">
        <w:rPr>
          <w:rFonts w:ascii="Verdana" w:hAnsi="Verdana"/>
          <w:sz w:val="20"/>
          <w:szCs w:val="20"/>
        </w:rPr>
        <w:t xml:space="preserve">etc. müssen </w:t>
      </w:r>
      <w:r w:rsidRPr="001023EE">
        <w:rPr>
          <w:rFonts w:ascii="Verdana" w:hAnsi="Verdana"/>
          <w:b/>
          <w:sz w:val="20"/>
          <w:szCs w:val="20"/>
        </w:rPr>
        <w:t>innert 15 Monaten</w:t>
      </w:r>
      <w:r w:rsidRPr="00A62B8F">
        <w:rPr>
          <w:rFonts w:ascii="Verdana" w:hAnsi="Verdana"/>
          <w:sz w:val="20"/>
          <w:szCs w:val="20"/>
        </w:rPr>
        <w:t xml:space="preserve"> </w:t>
      </w:r>
      <w:r w:rsidR="001023EE">
        <w:rPr>
          <w:rFonts w:ascii="Verdana" w:hAnsi="Verdana"/>
          <w:sz w:val="20"/>
          <w:szCs w:val="20"/>
        </w:rPr>
        <w:t xml:space="preserve">ab Ereignis </w:t>
      </w:r>
      <w:r w:rsidRPr="00A62B8F">
        <w:rPr>
          <w:rFonts w:ascii="Verdana" w:hAnsi="Verdana"/>
          <w:sz w:val="20"/>
          <w:szCs w:val="20"/>
        </w:rPr>
        <w:t>zur Rückvergütung eingereicht werden</w:t>
      </w:r>
      <w:r w:rsidR="006E7B20" w:rsidRPr="00A62B8F">
        <w:rPr>
          <w:rFonts w:ascii="Verdana" w:hAnsi="Verdana"/>
          <w:sz w:val="20"/>
          <w:szCs w:val="20"/>
        </w:rPr>
        <w:t>. D</w:t>
      </w:r>
      <w:r w:rsidRPr="00A62B8F">
        <w:rPr>
          <w:rFonts w:ascii="Verdana" w:hAnsi="Verdana"/>
          <w:sz w:val="20"/>
          <w:szCs w:val="20"/>
        </w:rPr>
        <w:t xml:space="preserve">azu </w:t>
      </w:r>
      <w:r w:rsidR="006E7B20" w:rsidRPr="00A62B8F">
        <w:rPr>
          <w:rFonts w:ascii="Verdana" w:hAnsi="Verdana"/>
          <w:sz w:val="20"/>
          <w:szCs w:val="20"/>
        </w:rPr>
        <w:t xml:space="preserve">sind </w:t>
      </w:r>
      <w:r w:rsidRPr="00A62B8F">
        <w:rPr>
          <w:rFonts w:ascii="Verdana" w:hAnsi="Verdana"/>
          <w:sz w:val="20"/>
          <w:szCs w:val="20"/>
        </w:rPr>
        <w:t>die beiden separaten Merkblätter</w:t>
      </w:r>
      <w:r w:rsidR="006E7B20" w:rsidRPr="00A62B8F">
        <w:rPr>
          <w:rFonts w:ascii="Verdana" w:hAnsi="Verdana"/>
          <w:sz w:val="20"/>
          <w:szCs w:val="20"/>
        </w:rPr>
        <w:t xml:space="preserve"> zu beachten</w:t>
      </w:r>
      <w:r w:rsidRPr="00A62B8F">
        <w:rPr>
          <w:rFonts w:ascii="Verdana" w:hAnsi="Verdana"/>
          <w:sz w:val="20"/>
          <w:szCs w:val="20"/>
        </w:rPr>
        <w:t>.</w:t>
      </w:r>
    </w:p>
    <w:p w:rsidR="0044306A" w:rsidRDefault="0044306A" w:rsidP="00BD650D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Zu den aktuellen Merkblättern: </w:t>
      </w:r>
      <w:hyperlink r:id="rId8" w:history="1">
        <w:r w:rsidRPr="00206A31">
          <w:rPr>
            <w:rStyle w:val="Hyperlink"/>
            <w:rFonts w:ascii="Verdana" w:hAnsi="Verdana"/>
            <w:sz w:val="20"/>
            <w:szCs w:val="20"/>
          </w:rPr>
          <w:t>https://www.ahv-iv.ch/de/Merkbl%C3%A4tter-Formulare/Merkbl%C3%A4tter/Erg%C3%A4nzungsleistungen-zur-AHV-und-IV</w:t>
        </w:r>
      </w:hyperlink>
    </w:p>
    <w:p w:rsid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lastRenderedPageBreak/>
        <w:br w:type="textWrapping" w:clear="all"/>
      </w:r>
      <w:r>
        <w:rPr>
          <w:rFonts w:ascii="Verdana" w:hAnsi="Verdana"/>
          <w:b/>
          <w:sz w:val="20"/>
          <w:szCs w:val="20"/>
        </w:rPr>
        <w:t>Zuständige ZL-Stellen Bezirk Dielsdorf</w:t>
      </w:r>
    </w:p>
    <w:p w:rsid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44306A">
        <w:rPr>
          <w:rFonts w:ascii="Verdana" w:hAnsi="Verdana"/>
          <w:b/>
          <w:sz w:val="20"/>
          <w:szCs w:val="20"/>
        </w:rPr>
        <w:t>Gemeinde</w:t>
      </w:r>
      <w:r w:rsidRPr="0044306A">
        <w:rPr>
          <w:rFonts w:ascii="Verdana" w:hAnsi="Verdana"/>
          <w:b/>
          <w:sz w:val="20"/>
          <w:szCs w:val="20"/>
        </w:rPr>
        <w:tab/>
      </w:r>
      <w:r w:rsidRPr="0044306A">
        <w:rPr>
          <w:rFonts w:ascii="Verdana" w:hAnsi="Verdana"/>
          <w:b/>
          <w:sz w:val="20"/>
          <w:szCs w:val="20"/>
        </w:rPr>
        <w:tab/>
        <w:t>zuständige ZL-Stelle</w:t>
      </w:r>
      <w:r w:rsidRPr="0044306A">
        <w:rPr>
          <w:rFonts w:ascii="Verdana" w:hAnsi="Verdana"/>
          <w:b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Bachs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Boppelsen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Buchs (ZH)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Dällikon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Dänikon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Dielsdorf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Hüttikon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Neerach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Niederglatt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ZL-Stelle Bülach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Niederhasli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eigenen ZL-Stelle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Niederweningen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Oberglatt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Oberweningen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ZL-Stelle Steinmaur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Otelfingen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Regensberg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ZL-Stelle Steinmaur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Regensdorf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eigenen ZL-Stelle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Rümlang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eigenen ZL-Stelle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Schleinikon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ZL-Stelle Steinmaur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Schöfflisdorf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  <w:t>ZL-Stelle Steinmaur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Stadel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ZL-Stelle Bülach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Steinmaur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eigene ZL-Stelle</w:t>
      </w:r>
      <w:r w:rsidRPr="0044306A">
        <w:rPr>
          <w:rFonts w:ascii="Verdana" w:hAnsi="Verdana"/>
          <w:sz w:val="20"/>
          <w:szCs w:val="20"/>
        </w:rPr>
        <w:tab/>
      </w:r>
    </w:p>
    <w:p w:rsidR="0044306A" w:rsidRPr="0044306A" w:rsidRDefault="0044306A" w:rsidP="0044306A">
      <w:pPr>
        <w:pStyle w:val="Listenabsatz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44306A">
        <w:rPr>
          <w:rFonts w:ascii="Verdana" w:hAnsi="Verdana"/>
          <w:sz w:val="20"/>
          <w:szCs w:val="20"/>
        </w:rPr>
        <w:t>Weiach</w:t>
      </w:r>
      <w:r w:rsidRPr="0044306A"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4306A">
        <w:rPr>
          <w:rFonts w:ascii="Verdana" w:hAnsi="Verdana"/>
          <w:sz w:val="20"/>
          <w:szCs w:val="20"/>
        </w:rPr>
        <w:t>SVA ZH</w:t>
      </w:r>
      <w:r w:rsidRPr="0044306A">
        <w:rPr>
          <w:rFonts w:ascii="Verdana" w:hAnsi="Verdana"/>
          <w:sz w:val="20"/>
          <w:szCs w:val="20"/>
        </w:rPr>
        <w:tab/>
      </w:r>
    </w:p>
    <w:sectPr w:rsidR="0044306A" w:rsidRPr="0044306A" w:rsidSect="001023E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720" w:footer="284" w:gutter="0"/>
      <w:pgNumType w:start="1" w:chapSep="period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13" w:rsidRDefault="00BB3413">
      <w:r>
        <w:separator/>
      </w:r>
    </w:p>
  </w:endnote>
  <w:endnote w:type="continuationSeparator" w:id="0">
    <w:p w:rsidR="00BB3413" w:rsidRDefault="00BB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082444"/>
      <w:docPartObj>
        <w:docPartGallery w:val="Page Numbers (Bottom of Page)"/>
        <w:docPartUnique/>
      </w:docPartObj>
    </w:sdtPr>
    <w:sdtEndPr>
      <w:rPr>
        <w:rFonts w:ascii="Arial" w:hAnsi="Arial"/>
        <w:sz w:val="16"/>
        <w:szCs w:val="16"/>
      </w:rPr>
    </w:sdtEndPr>
    <w:sdtContent>
      <w:p w:rsidR="00BB3413" w:rsidRPr="000737A1" w:rsidRDefault="00BB3413">
        <w:pPr>
          <w:pStyle w:val="Fuzeile"/>
          <w:jc w:val="right"/>
          <w:rPr>
            <w:rFonts w:ascii="Arial" w:hAnsi="Arial"/>
            <w:sz w:val="16"/>
            <w:szCs w:val="16"/>
          </w:rPr>
        </w:pPr>
        <w:r w:rsidRPr="000737A1">
          <w:rPr>
            <w:rFonts w:ascii="Arial" w:hAnsi="Arial"/>
            <w:sz w:val="16"/>
            <w:szCs w:val="16"/>
          </w:rPr>
          <w:fldChar w:fldCharType="begin"/>
        </w:r>
        <w:r w:rsidRPr="000737A1">
          <w:rPr>
            <w:rFonts w:ascii="Arial" w:hAnsi="Arial"/>
            <w:sz w:val="16"/>
            <w:szCs w:val="16"/>
          </w:rPr>
          <w:instrText>PAGE   \* MERGEFORMAT</w:instrText>
        </w:r>
        <w:r w:rsidRPr="000737A1">
          <w:rPr>
            <w:rFonts w:ascii="Arial" w:hAnsi="Arial"/>
            <w:sz w:val="16"/>
            <w:szCs w:val="16"/>
          </w:rPr>
          <w:fldChar w:fldCharType="separate"/>
        </w:r>
        <w:r w:rsidR="00CF7D90" w:rsidRPr="00CF7D90">
          <w:rPr>
            <w:rFonts w:ascii="Arial" w:hAnsi="Arial"/>
            <w:noProof/>
            <w:sz w:val="16"/>
            <w:szCs w:val="16"/>
            <w:lang w:val="de-DE"/>
          </w:rPr>
          <w:t>2</w:t>
        </w:r>
        <w:r w:rsidRPr="000737A1">
          <w:rPr>
            <w:rFonts w:ascii="Arial" w:hAnsi="Arial"/>
            <w:sz w:val="16"/>
            <w:szCs w:val="16"/>
          </w:rPr>
          <w:fldChar w:fldCharType="end"/>
        </w:r>
      </w:p>
    </w:sdtContent>
  </w:sdt>
  <w:p w:rsidR="00BB3413" w:rsidRDefault="00BB34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0F5" w:rsidRPr="006D422D" w:rsidRDefault="00261C07" w:rsidP="0058499D">
    <w:pPr>
      <w:pStyle w:val="Fuzeile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KOKES Handbuch </w:t>
    </w:r>
    <w:r w:rsidR="0044306A">
      <w:rPr>
        <w:rFonts w:ascii="Arial" w:hAnsi="Arial"/>
        <w:sz w:val="16"/>
        <w:szCs w:val="16"/>
      </w:rPr>
      <w:t>P</w:t>
    </w:r>
    <w:r>
      <w:rPr>
        <w:rFonts w:ascii="Arial" w:hAnsi="Arial"/>
        <w:sz w:val="16"/>
        <w:szCs w:val="16"/>
      </w:rPr>
      <w:t xml:space="preserve">riMa Version </w:t>
    </w:r>
    <w:r w:rsidR="007830F5">
      <w:rPr>
        <w:rFonts w:ascii="Arial" w:hAnsi="Arial"/>
        <w:sz w:val="16"/>
        <w:szCs w:val="16"/>
      </w:rPr>
      <w:t>KESB Bezirk Dielsdorf</w:t>
    </w:r>
    <w:r w:rsidR="007830F5">
      <w:rPr>
        <w:rFonts w:ascii="Arial" w:hAnsi="Arial"/>
        <w:sz w:val="16"/>
        <w:szCs w:val="16"/>
      </w:rPr>
      <w:tab/>
    </w:r>
    <w:r w:rsidR="007830F5">
      <w:rPr>
        <w:rFonts w:ascii="Arial" w:hAnsi="Arial"/>
        <w:sz w:val="16"/>
        <w:szCs w:val="16"/>
      </w:rPr>
      <w:tab/>
      <w:t>Anhang 12a</w:t>
    </w:r>
  </w:p>
  <w:p w:rsidR="00BB3413" w:rsidRPr="007830F5" w:rsidRDefault="0044306A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Januar 2024</w:t>
    </w:r>
    <w:r w:rsidR="00FF7950">
      <w:rPr>
        <w:rFonts w:ascii="Arial" w:hAnsi="Arial"/>
        <w:sz w:val="16"/>
        <w:szCs w:val="16"/>
      </w:rPr>
      <w:tab/>
    </w:r>
    <w:r w:rsidR="007830F5" w:rsidRPr="006D422D">
      <w:rPr>
        <w:rFonts w:ascii="Arial" w:hAnsi="Arial"/>
        <w:sz w:val="16"/>
        <w:szCs w:val="16"/>
      </w:rPr>
      <w:tab/>
    </w:r>
    <w:r w:rsidR="00C25A30">
      <w:rPr>
        <w:rFonts w:ascii="Arial" w:hAnsi="Arial"/>
        <w:sz w:val="16"/>
        <w:szCs w:val="16"/>
      </w:rPr>
      <w:t>Zusatzleistungen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13" w:rsidRDefault="00BB3413">
      <w:r>
        <w:separator/>
      </w:r>
    </w:p>
  </w:footnote>
  <w:footnote w:type="continuationSeparator" w:id="0">
    <w:p w:rsidR="00BB3413" w:rsidRDefault="00BB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13" w:rsidRDefault="00BB3413" w:rsidP="00C45AE1">
    <w:pPr>
      <w:pStyle w:val="Kopfzeile"/>
    </w:pPr>
  </w:p>
  <w:p w:rsidR="00BB3413" w:rsidRDefault="00BB34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13" w:rsidRDefault="00BB341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6191" behindDoc="1" locked="0" layoutInCell="1" allowOverlap="1" wp14:anchorId="283DACE1" wp14:editId="611E0A5B">
          <wp:simplePos x="0" y="0"/>
          <wp:positionH relativeFrom="column">
            <wp:posOffset>3239770</wp:posOffset>
          </wp:positionH>
          <wp:positionV relativeFrom="paragraph">
            <wp:posOffset>-88900</wp:posOffset>
          </wp:positionV>
          <wp:extent cx="3162300" cy="449580"/>
          <wp:effectExtent l="0" t="0" r="0" b="7620"/>
          <wp:wrapTight wrapText="bothSides">
            <wp:wrapPolygon edited="0">
              <wp:start x="0" y="0"/>
              <wp:lineTo x="0" y="21051"/>
              <wp:lineTo x="21470" y="21051"/>
              <wp:lineTo x="21470" y="0"/>
              <wp:lineTo x="0" y="0"/>
            </wp:wrapPolygon>
          </wp:wrapTight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482E6C32"/>
    <w:lvl w:ilvl="0" w:tplc="E266299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02"/>
    <w:rsid w:val="00026BB9"/>
    <w:rsid w:val="000342D9"/>
    <w:rsid w:val="00036728"/>
    <w:rsid w:val="00044D55"/>
    <w:rsid w:val="00051E77"/>
    <w:rsid w:val="00053CE9"/>
    <w:rsid w:val="000737A1"/>
    <w:rsid w:val="00080129"/>
    <w:rsid w:val="0008238F"/>
    <w:rsid w:val="00085F25"/>
    <w:rsid w:val="000B31AF"/>
    <w:rsid w:val="000B7D3D"/>
    <w:rsid w:val="000C7A53"/>
    <w:rsid w:val="000E7EEB"/>
    <w:rsid w:val="000F2EF5"/>
    <w:rsid w:val="0010077B"/>
    <w:rsid w:val="001023EE"/>
    <w:rsid w:val="00110CCE"/>
    <w:rsid w:val="001152BF"/>
    <w:rsid w:val="00172869"/>
    <w:rsid w:val="00173A3F"/>
    <w:rsid w:val="0019318B"/>
    <w:rsid w:val="001A1745"/>
    <w:rsid w:val="001B4970"/>
    <w:rsid w:val="001D1253"/>
    <w:rsid w:val="001D78D0"/>
    <w:rsid w:val="001E0DD3"/>
    <w:rsid w:val="001F46AF"/>
    <w:rsid w:val="002138D4"/>
    <w:rsid w:val="00224645"/>
    <w:rsid w:val="00247D4D"/>
    <w:rsid w:val="00261C07"/>
    <w:rsid w:val="002A06E2"/>
    <w:rsid w:val="002A1378"/>
    <w:rsid w:val="002E79CF"/>
    <w:rsid w:val="0030422B"/>
    <w:rsid w:val="00305CF7"/>
    <w:rsid w:val="00307EDC"/>
    <w:rsid w:val="003115E9"/>
    <w:rsid w:val="0032185D"/>
    <w:rsid w:val="00345666"/>
    <w:rsid w:val="00363B76"/>
    <w:rsid w:val="00375280"/>
    <w:rsid w:val="003753A6"/>
    <w:rsid w:val="00380285"/>
    <w:rsid w:val="003837BC"/>
    <w:rsid w:val="003A0A11"/>
    <w:rsid w:val="003F1543"/>
    <w:rsid w:val="003F272C"/>
    <w:rsid w:val="004008CD"/>
    <w:rsid w:val="004136CA"/>
    <w:rsid w:val="0044306A"/>
    <w:rsid w:val="0046406B"/>
    <w:rsid w:val="0046519A"/>
    <w:rsid w:val="0047235F"/>
    <w:rsid w:val="004A71F1"/>
    <w:rsid w:val="004B0EE3"/>
    <w:rsid w:val="004C0A3B"/>
    <w:rsid w:val="004C6BA8"/>
    <w:rsid w:val="004E16B3"/>
    <w:rsid w:val="004F32D8"/>
    <w:rsid w:val="00523A6C"/>
    <w:rsid w:val="0054701C"/>
    <w:rsid w:val="00550E44"/>
    <w:rsid w:val="0058499D"/>
    <w:rsid w:val="005956D5"/>
    <w:rsid w:val="005A71B2"/>
    <w:rsid w:val="005C4D09"/>
    <w:rsid w:val="005D0420"/>
    <w:rsid w:val="005E3F17"/>
    <w:rsid w:val="00611002"/>
    <w:rsid w:val="006329EA"/>
    <w:rsid w:val="00632C92"/>
    <w:rsid w:val="006447D5"/>
    <w:rsid w:val="00645ED9"/>
    <w:rsid w:val="00655E9E"/>
    <w:rsid w:val="006574B2"/>
    <w:rsid w:val="006612C6"/>
    <w:rsid w:val="00663816"/>
    <w:rsid w:val="00667E73"/>
    <w:rsid w:val="00687864"/>
    <w:rsid w:val="00692A97"/>
    <w:rsid w:val="006933E7"/>
    <w:rsid w:val="006A468D"/>
    <w:rsid w:val="006B4AC5"/>
    <w:rsid w:val="006D4804"/>
    <w:rsid w:val="006E7B20"/>
    <w:rsid w:val="006F5978"/>
    <w:rsid w:val="007052EF"/>
    <w:rsid w:val="007320E3"/>
    <w:rsid w:val="0074358A"/>
    <w:rsid w:val="007477F1"/>
    <w:rsid w:val="00752733"/>
    <w:rsid w:val="007579F9"/>
    <w:rsid w:val="007830F5"/>
    <w:rsid w:val="00797A15"/>
    <w:rsid w:val="007A1FE2"/>
    <w:rsid w:val="007B1AA5"/>
    <w:rsid w:val="007B3CB6"/>
    <w:rsid w:val="007D03A1"/>
    <w:rsid w:val="007D1CA5"/>
    <w:rsid w:val="007D54DF"/>
    <w:rsid w:val="007D5DF5"/>
    <w:rsid w:val="007F48B0"/>
    <w:rsid w:val="00843DA4"/>
    <w:rsid w:val="00847273"/>
    <w:rsid w:val="00855638"/>
    <w:rsid w:val="008556B8"/>
    <w:rsid w:val="00866C68"/>
    <w:rsid w:val="00880331"/>
    <w:rsid w:val="00891ACD"/>
    <w:rsid w:val="00897D93"/>
    <w:rsid w:val="008A5BA5"/>
    <w:rsid w:val="008C40E1"/>
    <w:rsid w:val="00904709"/>
    <w:rsid w:val="00914DD6"/>
    <w:rsid w:val="00935ED1"/>
    <w:rsid w:val="009454D5"/>
    <w:rsid w:val="009571CD"/>
    <w:rsid w:val="009573B4"/>
    <w:rsid w:val="0096448F"/>
    <w:rsid w:val="009762EA"/>
    <w:rsid w:val="00981376"/>
    <w:rsid w:val="00981FA0"/>
    <w:rsid w:val="0099312D"/>
    <w:rsid w:val="009A36D3"/>
    <w:rsid w:val="009A599D"/>
    <w:rsid w:val="009B6633"/>
    <w:rsid w:val="009C4B38"/>
    <w:rsid w:val="009C5240"/>
    <w:rsid w:val="00A15837"/>
    <w:rsid w:val="00A16C7F"/>
    <w:rsid w:val="00A40408"/>
    <w:rsid w:val="00A44F23"/>
    <w:rsid w:val="00A47BE9"/>
    <w:rsid w:val="00A50C07"/>
    <w:rsid w:val="00A62B8F"/>
    <w:rsid w:val="00A650EF"/>
    <w:rsid w:val="00A759C9"/>
    <w:rsid w:val="00AA3C9C"/>
    <w:rsid w:val="00AC267E"/>
    <w:rsid w:val="00AC5556"/>
    <w:rsid w:val="00AD42F0"/>
    <w:rsid w:val="00B02CD4"/>
    <w:rsid w:val="00B050EB"/>
    <w:rsid w:val="00B10672"/>
    <w:rsid w:val="00B13F52"/>
    <w:rsid w:val="00B30266"/>
    <w:rsid w:val="00B32327"/>
    <w:rsid w:val="00B33702"/>
    <w:rsid w:val="00B664C4"/>
    <w:rsid w:val="00B67B74"/>
    <w:rsid w:val="00B715FF"/>
    <w:rsid w:val="00B77CED"/>
    <w:rsid w:val="00BB3413"/>
    <w:rsid w:val="00BB7892"/>
    <w:rsid w:val="00BD650D"/>
    <w:rsid w:val="00BE391B"/>
    <w:rsid w:val="00BE5F0C"/>
    <w:rsid w:val="00C0381D"/>
    <w:rsid w:val="00C11C65"/>
    <w:rsid w:val="00C21629"/>
    <w:rsid w:val="00C25A30"/>
    <w:rsid w:val="00C45AE1"/>
    <w:rsid w:val="00C75B57"/>
    <w:rsid w:val="00C84115"/>
    <w:rsid w:val="00C8412E"/>
    <w:rsid w:val="00CA42C9"/>
    <w:rsid w:val="00CC2071"/>
    <w:rsid w:val="00CC56A8"/>
    <w:rsid w:val="00CE0A70"/>
    <w:rsid w:val="00CF5A66"/>
    <w:rsid w:val="00CF7D90"/>
    <w:rsid w:val="00D02BCD"/>
    <w:rsid w:val="00D11119"/>
    <w:rsid w:val="00D1599E"/>
    <w:rsid w:val="00D25A3C"/>
    <w:rsid w:val="00D4217C"/>
    <w:rsid w:val="00D44D25"/>
    <w:rsid w:val="00D50333"/>
    <w:rsid w:val="00D7030E"/>
    <w:rsid w:val="00DB40A5"/>
    <w:rsid w:val="00DD20C5"/>
    <w:rsid w:val="00DF24C8"/>
    <w:rsid w:val="00E20656"/>
    <w:rsid w:val="00E31F4D"/>
    <w:rsid w:val="00E358CB"/>
    <w:rsid w:val="00E41C02"/>
    <w:rsid w:val="00E56284"/>
    <w:rsid w:val="00E7345C"/>
    <w:rsid w:val="00E94FA4"/>
    <w:rsid w:val="00EA1AA7"/>
    <w:rsid w:val="00ED0BA3"/>
    <w:rsid w:val="00ED77DD"/>
    <w:rsid w:val="00EF2F7C"/>
    <w:rsid w:val="00EF5E1C"/>
    <w:rsid w:val="00F00F6A"/>
    <w:rsid w:val="00F073A9"/>
    <w:rsid w:val="00F35F4D"/>
    <w:rsid w:val="00F41A42"/>
    <w:rsid w:val="00F7667A"/>
    <w:rsid w:val="00F840B3"/>
    <w:rsid w:val="00FA5B07"/>
    <w:rsid w:val="00FF2E3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992813AE-DCB3-4CC0-A1EB-03F4CF93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47D4D"/>
    <w:rPr>
      <w:rFonts w:ascii="Century Gothic" w:hAnsi="Century Gothic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651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6519A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7F48B0"/>
    <w:pPr>
      <w:ind w:left="283" w:hanging="283"/>
    </w:pPr>
  </w:style>
  <w:style w:type="paragraph" w:styleId="Sprechblasentext">
    <w:name w:val="Balloon Text"/>
    <w:basedOn w:val="Standard"/>
    <w:semiHidden/>
    <w:rsid w:val="002A06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7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1F46AF"/>
    <w:rPr>
      <w:rFonts w:ascii="Century Gothic" w:hAnsi="Century Gothic" w:cs="Arial"/>
      <w:sz w:val="24"/>
      <w:szCs w:val="24"/>
      <w:lang w:eastAsia="de-DE"/>
    </w:rPr>
  </w:style>
  <w:style w:type="character" w:styleId="Hyperlink">
    <w:name w:val="Hyperlink"/>
    <w:basedOn w:val="Absatz-Standardschriftart"/>
    <w:rsid w:val="00053CE9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115E9"/>
    <w:rPr>
      <w:rFonts w:ascii="Century Gothic" w:hAnsi="Century Gothic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1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v-iv.ch/de/Merkbl%C3%A4tter-Formulare/Merkbl%C3%A4tter/Erg%C3%A4nzungsleistungen-zur-AHV-und-I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KESB\Brief%20Kanzlei%20sw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36E0-50D3-443D-95D0-5944756B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Kanzlei sw</Template>
  <TotalTime>0</TotalTime>
  <Pages>2</Pages>
  <Words>397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Kanzlei</vt:lpstr>
    </vt:vector>
  </TitlesOfParts>
  <Company>ZV SD Dielsdorf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Kanzlei</dc:title>
  <dc:creator>Lucien Brühlmann</dc:creator>
  <cp:lastModifiedBy>Huber Ivana</cp:lastModifiedBy>
  <cp:revision>2</cp:revision>
  <cp:lastPrinted>2014-12-05T09:29:00Z</cp:lastPrinted>
  <dcterms:created xsi:type="dcterms:W3CDTF">2024-08-02T09:10:00Z</dcterms:created>
  <dcterms:modified xsi:type="dcterms:W3CDTF">2024-08-02T09:10:00Z</dcterms:modified>
</cp:coreProperties>
</file>