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103"/>
      </w:tblGrid>
      <w:tr w:rsidR="001F46AF" w:rsidRPr="007D03A1" w:rsidTr="009B6633">
        <w:tc>
          <w:tcPr>
            <w:tcW w:w="5353" w:type="dxa"/>
            <w:vAlign w:val="bottom"/>
          </w:tcPr>
          <w:p w:rsidR="009B6633" w:rsidRPr="00A40408" w:rsidRDefault="009B6633" w:rsidP="009B6633">
            <w:pPr>
              <w:rPr>
                <w:rFonts w:ascii="Verdana" w:hAnsi="Verdana"/>
                <w:sz w:val="20"/>
                <w:szCs w:val="20"/>
              </w:rPr>
            </w:pPr>
            <w:bookmarkStart w:id="0" w:name="Text5"/>
            <w:bookmarkStart w:id="1" w:name="_GoBack"/>
            <w:bookmarkEnd w:id="1"/>
          </w:p>
          <w:p w:rsidR="009B6633" w:rsidRPr="00A40408" w:rsidRDefault="009B6633" w:rsidP="009B6633">
            <w:pPr>
              <w:rPr>
                <w:rFonts w:ascii="Verdana" w:hAnsi="Verdana"/>
                <w:sz w:val="20"/>
                <w:szCs w:val="20"/>
              </w:rPr>
            </w:pPr>
          </w:p>
          <w:bookmarkEnd w:id="0"/>
          <w:p w:rsidR="001F46AF" w:rsidRPr="00A40408" w:rsidRDefault="001F46AF" w:rsidP="009B6633">
            <w:pPr>
              <w:pStyle w:val="Kopfzeile"/>
              <w:tabs>
                <w:tab w:val="clear" w:pos="4536"/>
                <w:tab w:val="clear" w:pos="9072"/>
                <w:tab w:val="left" w:pos="7680"/>
              </w:tabs>
              <w:rPr>
                <w:rFonts w:ascii="Verdana" w:hAnsi="Verdana"/>
              </w:rPr>
            </w:pPr>
          </w:p>
        </w:tc>
        <w:tc>
          <w:tcPr>
            <w:tcW w:w="5103" w:type="dxa"/>
          </w:tcPr>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Honeywell-Platz 1</w:t>
            </w:r>
            <w:r w:rsidR="00053CE9" w:rsidRPr="00632C92">
              <w:rPr>
                <w:rFonts w:ascii="Verdana" w:hAnsi="Verdana"/>
                <w:sz w:val="14"/>
                <w:szCs w:val="14"/>
              </w:rPr>
              <w:t xml:space="preserve"> / </w:t>
            </w:r>
            <w:r w:rsidRPr="00632C92">
              <w:rPr>
                <w:rFonts w:ascii="Verdana" w:hAnsi="Verdana"/>
                <w:sz w:val="14"/>
                <w:szCs w:val="14"/>
              </w:rPr>
              <w:t>Postfach 9</w:t>
            </w:r>
          </w:p>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8157 Dielsdorf</w:t>
            </w:r>
          </w:p>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Telefon</w:t>
            </w:r>
            <w:r w:rsidR="00053CE9" w:rsidRPr="00632C92">
              <w:rPr>
                <w:rFonts w:ascii="Verdana" w:hAnsi="Verdana"/>
                <w:sz w:val="14"/>
                <w:szCs w:val="14"/>
              </w:rPr>
              <w:tab/>
            </w:r>
            <w:r w:rsidRPr="00632C92">
              <w:rPr>
                <w:rFonts w:ascii="Verdana" w:hAnsi="Verdana"/>
                <w:sz w:val="14"/>
                <w:szCs w:val="14"/>
              </w:rPr>
              <w:t>044 855 22 33</w:t>
            </w:r>
          </w:p>
          <w:p w:rsidR="001F46AF" w:rsidRPr="00632C92" w:rsidRDefault="001F46AF" w:rsidP="00611002">
            <w:pPr>
              <w:pStyle w:val="Kopfzeile"/>
              <w:tabs>
                <w:tab w:val="clear" w:pos="4536"/>
                <w:tab w:val="clear" w:pos="9072"/>
              </w:tabs>
              <w:ind w:left="-108"/>
              <w:rPr>
                <w:rFonts w:ascii="Verdana" w:hAnsi="Verdana"/>
                <w:sz w:val="14"/>
                <w:szCs w:val="14"/>
                <w:lang w:val="fr-CH"/>
              </w:rPr>
            </w:pPr>
            <w:r w:rsidRPr="00632C92">
              <w:rPr>
                <w:rFonts w:ascii="Verdana" w:hAnsi="Verdana"/>
                <w:sz w:val="14"/>
                <w:szCs w:val="14"/>
                <w:lang w:val="fr-CH"/>
              </w:rPr>
              <w:t xml:space="preserve">Fax </w:t>
            </w:r>
            <w:r w:rsidR="00053CE9" w:rsidRPr="00632C92">
              <w:rPr>
                <w:rFonts w:ascii="Verdana" w:hAnsi="Verdana"/>
                <w:sz w:val="14"/>
                <w:szCs w:val="14"/>
                <w:lang w:val="fr-CH"/>
              </w:rPr>
              <w:tab/>
            </w:r>
            <w:r w:rsidRPr="00632C92">
              <w:rPr>
                <w:rFonts w:ascii="Verdana" w:hAnsi="Verdana"/>
                <w:sz w:val="14"/>
                <w:szCs w:val="14"/>
                <w:lang w:val="fr-CH"/>
              </w:rPr>
              <w:t>044 855 22 39</w:t>
            </w:r>
          </w:p>
          <w:p w:rsidR="001F46AF" w:rsidRPr="00A40408" w:rsidRDefault="001F46AF" w:rsidP="00173A3F">
            <w:pPr>
              <w:pStyle w:val="Kopfzeile"/>
              <w:tabs>
                <w:tab w:val="clear" w:pos="4536"/>
                <w:tab w:val="clear" w:pos="9072"/>
              </w:tabs>
              <w:rPr>
                <w:rFonts w:ascii="Verdana" w:hAnsi="Verdana"/>
                <w:lang w:val="fr-CH"/>
              </w:rPr>
            </w:pPr>
          </w:p>
        </w:tc>
      </w:tr>
      <w:tr w:rsidR="001F46AF" w:rsidRPr="007D03A1" w:rsidTr="00053CE9">
        <w:tc>
          <w:tcPr>
            <w:tcW w:w="5353" w:type="dxa"/>
          </w:tcPr>
          <w:p w:rsidR="001F46AF" w:rsidRPr="00A40408" w:rsidRDefault="001F46AF" w:rsidP="00053CE9">
            <w:pPr>
              <w:pStyle w:val="Kopfzeile"/>
              <w:tabs>
                <w:tab w:val="clear" w:pos="4536"/>
                <w:tab w:val="clear" w:pos="9072"/>
                <w:tab w:val="left" w:pos="8364"/>
              </w:tabs>
              <w:rPr>
                <w:rFonts w:ascii="Verdana" w:hAnsi="Verdana"/>
                <w:lang w:val="fr-CH"/>
              </w:rPr>
            </w:pPr>
          </w:p>
        </w:tc>
        <w:tc>
          <w:tcPr>
            <w:tcW w:w="5103" w:type="dxa"/>
          </w:tcPr>
          <w:p w:rsidR="001F46AF" w:rsidRPr="00A40408" w:rsidRDefault="001F46AF" w:rsidP="001F46AF">
            <w:pPr>
              <w:pStyle w:val="Kopfzeile"/>
              <w:tabs>
                <w:tab w:val="clear" w:pos="4536"/>
                <w:tab w:val="clear" w:pos="9072"/>
                <w:tab w:val="left" w:pos="7680"/>
              </w:tabs>
              <w:ind w:left="2741"/>
              <w:rPr>
                <w:rFonts w:ascii="Verdana" w:hAnsi="Verdana"/>
                <w:b/>
                <w:sz w:val="16"/>
                <w:szCs w:val="16"/>
                <w:lang w:val="fr-CH"/>
              </w:rPr>
            </w:pPr>
          </w:p>
        </w:tc>
      </w:tr>
    </w:tbl>
    <w:p w:rsidR="00611002" w:rsidRPr="00A62B8F" w:rsidRDefault="00611002" w:rsidP="00E5542E">
      <w:pPr>
        <w:pBdr>
          <w:top w:val="single" w:sz="4" w:space="1" w:color="auto"/>
          <w:left w:val="single" w:sz="4" w:space="4" w:color="auto"/>
          <w:bottom w:val="single" w:sz="4" w:space="1" w:color="auto"/>
          <w:right w:val="single" w:sz="4" w:space="4" w:color="auto"/>
        </w:pBdr>
        <w:spacing w:after="200"/>
        <w:jc w:val="center"/>
        <w:rPr>
          <w:rFonts w:ascii="Verdana" w:eastAsiaTheme="minorHAnsi" w:hAnsi="Verdana"/>
          <w:b/>
          <w:sz w:val="36"/>
          <w:szCs w:val="22"/>
          <w:lang w:eastAsia="en-US"/>
        </w:rPr>
      </w:pPr>
      <w:r w:rsidRPr="00A62B8F">
        <w:rPr>
          <w:rFonts w:ascii="Verdana" w:eastAsiaTheme="minorHAnsi" w:hAnsi="Verdana"/>
          <w:b/>
          <w:sz w:val="36"/>
          <w:szCs w:val="22"/>
          <w:lang w:eastAsia="en-US"/>
        </w:rPr>
        <w:t>MERKBLATT</w:t>
      </w:r>
    </w:p>
    <w:p w:rsidR="00611002" w:rsidRPr="00C720C6" w:rsidRDefault="00C720C6" w:rsidP="00C720C6">
      <w:pPr>
        <w:pBdr>
          <w:top w:val="single" w:sz="4" w:space="1" w:color="auto"/>
          <w:left w:val="single" w:sz="4" w:space="4" w:color="auto"/>
          <w:bottom w:val="single" w:sz="4" w:space="1" w:color="auto"/>
          <w:right w:val="single" w:sz="4" w:space="4" w:color="auto"/>
        </w:pBdr>
        <w:spacing w:after="200" w:line="276" w:lineRule="auto"/>
        <w:jc w:val="center"/>
        <w:rPr>
          <w:rFonts w:ascii="Verdana" w:eastAsiaTheme="minorHAnsi" w:hAnsi="Verdana"/>
          <w:b/>
          <w:sz w:val="28"/>
          <w:szCs w:val="22"/>
          <w:lang w:eastAsia="en-US"/>
        </w:rPr>
      </w:pPr>
      <w:r w:rsidRPr="00C720C6">
        <w:rPr>
          <w:rFonts w:ascii="Verdana" w:eastAsiaTheme="minorHAnsi" w:hAnsi="Verdana"/>
          <w:b/>
          <w:sz w:val="28"/>
          <w:szCs w:val="22"/>
          <w:lang w:eastAsia="en-US"/>
        </w:rPr>
        <w:t xml:space="preserve">Krankheitskostenvergütungen </w:t>
      </w:r>
      <w:r>
        <w:rPr>
          <w:rFonts w:ascii="Verdana" w:eastAsiaTheme="minorHAnsi" w:hAnsi="Verdana"/>
          <w:b/>
          <w:sz w:val="28"/>
          <w:szCs w:val="22"/>
          <w:lang w:eastAsia="en-US"/>
        </w:rPr>
        <w:t>über</w:t>
      </w:r>
      <w:r w:rsidRPr="00C720C6">
        <w:rPr>
          <w:rFonts w:ascii="Verdana" w:eastAsiaTheme="minorHAnsi" w:hAnsi="Verdana"/>
          <w:b/>
          <w:sz w:val="28"/>
          <w:szCs w:val="22"/>
          <w:lang w:eastAsia="en-US"/>
        </w:rPr>
        <w:t xml:space="preserve"> </w:t>
      </w:r>
      <w:r>
        <w:rPr>
          <w:rFonts w:ascii="Verdana" w:eastAsiaTheme="minorHAnsi" w:hAnsi="Verdana"/>
          <w:b/>
          <w:sz w:val="28"/>
          <w:szCs w:val="22"/>
          <w:lang w:eastAsia="en-US"/>
        </w:rPr>
        <w:br/>
      </w:r>
      <w:r w:rsidRPr="00C720C6">
        <w:rPr>
          <w:rFonts w:ascii="Verdana" w:eastAsiaTheme="minorHAnsi" w:hAnsi="Verdana"/>
          <w:b/>
          <w:sz w:val="28"/>
          <w:szCs w:val="22"/>
          <w:lang w:eastAsia="en-US"/>
        </w:rPr>
        <w:t>Ergänzungsleistungen zur AHV/IV</w:t>
      </w:r>
    </w:p>
    <w:p w:rsidR="00611002" w:rsidRPr="00611002" w:rsidRDefault="00611002" w:rsidP="00611002">
      <w:pPr>
        <w:pStyle w:val="Kopfzeile"/>
        <w:tabs>
          <w:tab w:val="left" w:pos="708"/>
        </w:tabs>
        <w:spacing w:line="360" w:lineRule="auto"/>
        <w:jc w:val="center"/>
        <w:rPr>
          <w:rFonts w:ascii="Verdana" w:hAnsi="Verdana"/>
          <w:sz w:val="20"/>
          <w:szCs w:val="20"/>
        </w:rPr>
      </w:pPr>
      <w:r w:rsidRPr="005D7D9F">
        <w:rPr>
          <w:rFonts w:ascii="Verdana" w:hAnsi="Verdana"/>
          <w:sz w:val="20"/>
          <w:szCs w:val="20"/>
        </w:rPr>
        <w:t>(Gilt für die Zusatzleistungen in allen Gemeinden des Bezirks Dielsdorf)</w:t>
      </w:r>
    </w:p>
    <w:p w:rsidR="00611002" w:rsidRPr="00C720C6" w:rsidRDefault="00611002" w:rsidP="00611002">
      <w:pPr>
        <w:jc w:val="both"/>
        <w:rPr>
          <w:rFonts w:ascii="Verdana" w:hAnsi="Verdana"/>
          <w:sz w:val="20"/>
          <w:szCs w:val="20"/>
        </w:rPr>
      </w:pPr>
    </w:p>
    <w:p w:rsidR="00C720C6" w:rsidRPr="00C720C6" w:rsidRDefault="00C720C6" w:rsidP="00C720C6">
      <w:pPr>
        <w:numPr>
          <w:ilvl w:val="12"/>
          <w:numId w:val="0"/>
        </w:numPr>
        <w:jc w:val="both"/>
        <w:rPr>
          <w:rFonts w:ascii="Verdana" w:hAnsi="Verdana"/>
          <w:sz w:val="20"/>
          <w:szCs w:val="20"/>
        </w:rPr>
      </w:pPr>
      <w:r w:rsidRPr="00C720C6">
        <w:rPr>
          <w:rFonts w:ascii="Verdana" w:hAnsi="Verdana"/>
          <w:sz w:val="20"/>
          <w:szCs w:val="20"/>
        </w:rPr>
        <w:t xml:space="preserve">Für die nachfolgend aufgeführten Krankheits-, Behinderungs- und Zahnbehandlungskosten können unter bestimmten Voraussetzungen Beiträge über Zusatzleistungen geleistet werden. Grundsätzlich können nur in der Schweiz entstandene Kosten berücksichtigt werden. Es ist ferner zu beachten, dass ein Selbstbehalt in Abzug gebracht wird, wenn kein Anspruch auf Ergänzungsleistungen, sondern nur ein Anspruch auf Beihilfen oder Gemeindezuschüsse besteht. </w:t>
      </w:r>
    </w:p>
    <w:p w:rsidR="00C720C6" w:rsidRPr="00C720C6" w:rsidRDefault="00C720C6" w:rsidP="00C720C6">
      <w:pPr>
        <w:numPr>
          <w:ilvl w:val="12"/>
          <w:numId w:val="0"/>
        </w:numPr>
        <w:jc w:val="both"/>
        <w:rPr>
          <w:rFonts w:ascii="Verdana" w:hAnsi="Verdana"/>
          <w:sz w:val="20"/>
          <w:szCs w:val="20"/>
        </w:rPr>
      </w:pPr>
    </w:p>
    <w:p w:rsidR="00C720C6" w:rsidRPr="00C720C6" w:rsidRDefault="00C720C6" w:rsidP="00C720C6">
      <w:pPr>
        <w:numPr>
          <w:ilvl w:val="0"/>
          <w:numId w:val="2"/>
        </w:numPr>
        <w:jc w:val="both"/>
        <w:rPr>
          <w:rFonts w:ascii="Verdana" w:hAnsi="Verdana"/>
          <w:sz w:val="20"/>
          <w:szCs w:val="20"/>
        </w:rPr>
      </w:pPr>
      <w:r w:rsidRPr="00C720C6">
        <w:rPr>
          <w:rFonts w:ascii="Verdana" w:hAnsi="Verdana"/>
          <w:b/>
          <w:bCs/>
          <w:sz w:val="20"/>
          <w:szCs w:val="20"/>
        </w:rPr>
        <w:t>Franchise und Selbstbehalte</w:t>
      </w:r>
      <w:r w:rsidRPr="00C720C6">
        <w:rPr>
          <w:rFonts w:ascii="Verdana" w:hAnsi="Verdana"/>
          <w:sz w:val="20"/>
          <w:szCs w:val="20"/>
        </w:rPr>
        <w:t xml:space="preserve"> (10% aus der obligatorischen Grundversicherung) der Krankenkasse können bis zu einem Maxima</w:t>
      </w:r>
      <w:r>
        <w:rPr>
          <w:rFonts w:ascii="Verdana" w:hAnsi="Verdana"/>
          <w:sz w:val="20"/>
          <w:szCs w:val="20"/>
        </w:rPr>
        <w:t>lbetrag von insgesamt Fr. 1'000.00</w:t>
      </w:r>
      <w:r w:rsidRPr="00C720C6">
        <w:rPr>
          <w:rFonts w:ascii="Verdana" w:hAnsi="Verdana"/>
          <w:sz w:val="20"/>
          <w:szCs w:val="20"/>
        </w:rPr>
        <w:t xml:space="preserve"> vergütet werden. Die entsprechenden Abrechnungen sind im Original innert 15 Monaten </w:t>
      </w:r>
      <w:r>
        <w:rPr>
          <w:rFonts w:ascii="Verdana" w:hAnsi="Verdana"/>
          <w:sz w:val="20"/>
          <w:szCs w:val="20"/>
        </w:rPr>
        <w:t xml:space="preserve">der Zusatzleistungsstelle </w:t>
      </w:r>
      <w:r w:rsidRPr="00C720C6">
        <w:rPr>
          <w:rFonts w:ascii="Verdana" w:hAnsi="Verdana"/>
          <w:sz w:val="20"/>
          <w:szCs w:val="20"/>
        </w:rPr>
        <w:t>einzureichen.</w:t>
      </w:r>
    </w:p>
    <w:p w:rsidR="00C720C6" w:rsidRPr="00C720C6" w:rsidRDefault="00C720C6" w:rsidP="00C720C6">
      <w:pPr>
        <w:numPr>
          <w:ilvl w:val="0"/>
          <w:numId w:val="2"/>
        </w:numPr>
        <w:spacing w:before="120"/>
        <w:ind w:left="284" w:hanging="284"/>
        <w:jc w:val="both"/>
        <w:rPr>
          <w:rFonts w:ascii="Verdana" w:hAnsi="Verdana"/>
          <w:i/>
          <w:iCs/>
          <w:sz w:val="20"/>
          <w:szCs w:val="20"/>
        </w:rPr>
      </w:pPr>
      <w:r w:rsidRPr="00C720C6">
        <w:rPr>
          <w:rFonts w:ascii="Verdana" w:hAnsi="Verdana"/>
          <w:sz w:val="20"/>
          <w:szCs w:val="20"/>
        </w:rPr>
        <w:t xml:space="preserve">Kosten für </w:t>
      </w:r>
      <w:r w:rsidRPr="00C720C6">
        <w:rPr>
          <w:rFonts w:ascii="Verdana" w:hAnsi="Verdana"/>
          <w:b/>
          <w:bCs/>
          <w:sz w:val="20"/>
          <w:szCs w:val="20"/>
        </w:rPr>
        <w:t>Zahnbehandlungen</w:t>
      </w:r>
      <w:r w:rsidRPr="00C720C6">
        <w:rPr>
          <w:rFonts w:ascii="Verdana" w:hAnsi="Verdana"/>
          <w:sz w:val="20"/>
          <w:szCs w:val="20"/>
        </w:rPr>
        <w:t xml:space="preserve"> können nur übernommen werden, soweit die Behandlung einfach, wirtschaftlich und zweckmässig ist und nach UV/MV/IV- (früher SUVA-) Tarif erfolgt. Liegen die Kosten einer Zahnbehandlung (inkl. Labor) voraussichtlich höher als Fr. 3'000.</w:t>
      </w:r>
      <w:r>
        <w:rPr>
          <w:rFonts w:ascii="Verdana" w:hAnsi="Verdana"/>
          <w:sz w:val="20"/>
          <w:szCs w:val="20"/>
        </w:rPr>
        <w:t>00</w:t>
      </w:r>
      <w:r w:rsidRPr="00C720C6">
        <w:rPr>
          <w:rFonts w:ascii="Verdana" w:hAnsi="Verdana"/>
          <w:sz w:val="20"/>
          <w:szCs w:val="20"/>
        </w:rPr>
        <w:t>, so ist der Durchführungsstelle vor der Behandlung ein Kostenvoranschlag</w:t>
      </w:r>
      <w:r w:rsidRPr="00C720C6">
        <w:rPr>
          <w:rFonts w:ascii="Verdana" w:hAnsi="Verdana"/>
          <w:b/>
          <w:sz w:val="20"/>
          <w:szCs w:val="20"/>
        </w:rPr>
        <w:t xml:space="preserve"> </w:t>
      </w:r>
      <w:r w:rsidRPr="00C720C6">
        <w:rPr>
          <w:rFonts w:ascii="Verdana" w:hAnsi="Verdana"/>
          <w:sz w:val="20"/>
          <w:szCs w:val="20"/>
        </w:rPr>
        <w:t>einzureichen. Die detaillierten Kostenvoranschläge und Rechnungen der Zahnärztinnen/-ärzte und der Zahntechniker</w:t>
      </w:r>
      <w:r>
        <w:rPr>
          <w:rFonts w:ascii="Verdana" w:hAnsi="Verdana"/>
          <w:sz w:val="20"/>
          <w:szCs w:val="20"/>
        </w:rPr>
        <w:t>/</w:t>
      </w:r>
      <w:r w:rsidRPr="00C720C6">
        <w:rPr>
          <w:rFonts w:ascii="Verdana" w:hAnsi="Verdana"/>
          <w:sz w:val="20"/>
          <w:szCs w:val="20"/>
        </w:rPr>
        <w:t>Innen sind entsprechend den Tarifpositionen nach UV/MV/IV-Tarif einzureichen. Wird kein Kostenvoranschlag eingereicht, können höchstens und einmalig Fr. 3'000.</w:t>
      </w:r>
      <w:r>
        <w:rPr>
          <w:rFonts w:ascii="Verdana" w:hAnsi="Verdana"/>
          <w:sz w:val="20"/>
          <w:szCs w:val="20"/>
        </w:rPr>
        <w:t>00</w:t>
      </w:r>
      <w:r w:rsidRPr="00C720C6">
        <w:rPr>
          <w:rFonts w:ascii="Verdana" w:hAnsi="Verdana"/>
          <w:sz w:val="20"/>
          <w:szCs w:val="20"/>
        </w:rPr>
        <w:t xml:space="preserve"> vergütet werden, wenn es sich um eine zweckmässige, einfache und wirtschaftliche Behandlung handelt. </w:t>
      </w:r>
      <w:r w:rsidRPr="00C720C6">
        <w:rPr>
          <w:rFonts w:ascii="Verdana" w:hAnsi="Verdana"/>
          <w:i/>
          <w:iCs/>
          <w:sz w:val="20"/>
          <w:szCs w:val="20"/>
        </w:rPr>
        <w:t xml:space="preserve">Bitte </w:t>
      </w:r>
      <w:r>
        <w:rPr>
          <w:rFonts w:ascii="Verdana" w:hAnsi="Verdana"/>
          <w:i/>
          <w:iCs/>
          <w:sz w:val="20"/>
          <w:szCs w:val="20"/>
        </w:rPr>
        <w:t>hierzu</w:t>
      </w:r>
      <w:r w:rsidRPr="00C720C6">
        <w:rPr>
          <w:rFonts w:ascii="Verdana" w:hAnsi="Verdana"/>
          <w:i/>
          <w:iCs/>
          <w:sz w:val="20"/>
          <w:szCs w:val="20"/>
        </w:rPr>
        <w:t xml:space="preserve"> </w:t>
      </w:r>
      <w:r w:rsidRPr="00C720C6">
        <w:rPr>
          <w:rFonts w:ascii="Verdana" w:hAnsi="Verdana"/>
          <w:b/>
          <w:bCs/>
          <w:i/>
          <w:iCs/>
          <w:sz w:val="20"/>
          <w:szCs w:val="20"/>
        </w:rPr>
        <w:t>separates Merkblatt</w:t>
      </w:r>
      <w:r>
        <w:rPr>
          <w:rFonts w:ascii="Verdana" w:hAnsi="Verdana"/>
          <w:b/>
          <w:bCs/>
          <w:i/>
          <w:iCs/>
          <w:sz w:val="20"/>
          <w:szCs w:val="20"/>
        </w:rPr>
        <w:t xml:space="preserve"> </w:t>
      </w:r>
      <w:r w:rsidRPr="00C720C6">
        <w:rPr>
          <w:rFonts w:ascii="Verdana" w:hAnsi="Verdana"/>
          <w:bCs/>
          <w:iCs/>
          <w:sz w:val="20"/>
          <w:szCs w:val="20"/>
        </w:rPr>
        <w:t>beachten</w:t>
      </w:r>
      <w:r w:rsidRPr="00C720C6">
        <w:rPr>
          <w:rFonts w:ascii="Verdana" w:hAnsi="Verdana"/>
          <w:i/>
          <w:iCs/>
          <w:sz w:val="20"/>
          <w:szCs w:val="20"/>
        </w:rPr>
        <w:t>.</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Mehrkosten bei </w:t>
      </w:r>
      <w:r w:rsidRPr="00C720C6">
        <w:rPr>
          <w:rFonts w:ascii="Verdana" w:hAnsi="Verdana"/>
          <w:b/>
          <w:bCs/>
          <w:sz w:val="20"/>
          <w:szCs w:val="20"/>
        </w:rPr>
        <w:t>Zöliakie/Sprue (Getreideunverträglichkeit) und Peritonealdialyse (Bauchfelldialyse)</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Ärztlich verordnete </w:t>
      </w:r>
      <w:r w:rsidRPr="00C720C6">
        <w:rPr>
          <w:rFonts w:ascii="Verdana" w:hAnsi="Verdana"/>
          <w:b/>
          <w:bCs/>
          <w:sz w:val="20"/>
          <w:szCs w:val="20"/>
        </w:rPr>
        <w:t>Kuraufenthalte</w:t>
      </w:r>
      <w:r w:rsidRPr="00C720C6">
        <w:rPr>
          <w:rFonts w:ascii="Verdana" w:hAnsi="Verdana"/>
          <w:sz w:val="20"/>
          <w:szCs w:val="20"/>
        </w:rPr>
        <w:t xml:space="preserve"> und ärztlich verordnete vorübergehende Aufenthalte in einem Pflegeheim oder in einem Altersheim unter Abzug eines Betrages für Verpflegung und allfälliger Krankenkassenbeiträge</w:t>
      </w:r>
      <w:r>
        <w:rPr>
          <w:rFonts w:ascii="Verdana" w:hAnsi="Verdana"/>
          <w:sz w:val="20"/>
          <w:szCs w:val="20"/>
        </w:rPr>
        <w:t>.</w:t>
      </w:r>
    </w:p>
    <w:p w:rsidR="00C720C6" w:rsidRPr="00C720C6" w:rsidRDefault="00C720C6" w:rsidP="00C720C6">
      <w:pPr>
        <w:numPr>
          <w:ilvl w:val="0"/>
          <w:numId w:val="2"/>
        </w:numPr>
        <w:spacing w:before="120"/>
        <w:ind w:left="284" w:hanging="284"/>
        <w:jc w:val="both"/>
        <w:rPr>
          <w:rFonts w:ascii="Verdana" w:hAnsi="Verdana"/>
          <w:b/>
          <w:bCs/>
          <w:sz w:val="20"/>
          <w:szCs w:val="20"/>
        </w:rPr>
      </w:pPr>
      <w:r w:rsidRPr="00C720C6">
        <w:rPr>
          <w:rFonts w:ascii="Verdana" w:hAnsi="Verdana"/>
          <w:b/>
          <w:bCs/>
          <w:sz w:val="20"/>
          <w:szCs w:val="20"/>
        </w:rPr>
        <w:t>Notfalltransporte</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b/>
          <w:bCs/>
          <w:sz w:val="20"/>
          <w:szCs w:val="20"/>
        </w:rPr>
        <w:t>Transportkosten</w:t>
      </w:r>
      <w:r w:rsidRPr="00C720C6">
        <w:rPr>
          <w:rFonts w:ascii="Verdana" w:hAnsi="Verdana"/>
          <w:sz w:val="20"/>
          <w:szCs w:val="20"/>
        </w:rPr>
        <w:t xml:space="preserve"> im Zusammenhang mit medizinischen Massnahmen</w:t>
      </w:r>
      <w:r>
        <w:rPr>
          <w:rFonts w:ascii="Verdana" w:hAnsi="Verdana"/>
          <w:sz w:val="20"/>
          <w:szCs w:val="20"/>
        </w:rPr>
        <w:t>.</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Kosten für </w:t>
      </w:r>
      <w:r w:rsidRPr="00C720C6">
        <w:rPr>
          <w:rFonts w:ascii="Verdana" w:hAnsi="Verdana"/>
          <w:b/>
          <w:bCs/>
          <w:sz w:val="20"/>
          <w:szCs w:val="20"/>
        </w:rPr>
        <w:t>ambulante Pflege</w:t>
      </w:r>
      <w:r w:rsidRPr="00C720C6">
        <w:rPr>
          <w:rFonts w:ascii="Verdana" w:hAnsi="Verdana"/>
          <w:sz w:val="20"/>
          <w:szCs w:val="20"/>
        </w:rPr>
        <w:t xml:space="preserve"> (SPITEX)</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Genehmigte Kosten für </w:t>
      </w:r>
      <w:r w:rsidRPr="00C720C6">
        <w:rPr>
          <w:rFonts w:ascii="Verdana" w:hAnsi="Verdana"/>
          <w:b/>
          <w:bCs/>
          <w:sz w:val="20"/>
          <w:szCs w:val="20"/>
        </w:rPr>
        <w:t>direkt angestelltes Pflegepersonal</w:t>
      </w:r>
      <w:r w:rsidRPr="00C720C6">
        <w:rPr>
          <w:rFonts w:ascii="Verdana" w:hAnsi="Verdana"/>
          <w:sz w:val="20"/>
          <w:szCs w:val="20"/>
        </w:rPr>
        <w:t xml:space="preserve"> bei einer mittelschweren oder schweren Hilflosigkeit. </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Kosten für </w:t>
      </w:r>
      <w:r w:rsidRPr="00C720C6">
        <w:rPr>
          <w:rFonts w:ascii="Verdana" w:hAnsi="Verdana"/>
          <w:b/>
          <w:bCs/>
          <w:sz w:val="20"/>
          <w:szCs w:val="20"/>
        </w:rPr>
        <w:t>Haushilfe</w:t>
      </w:r>
      <w:r w:rsidRPr="00C720C6">
        <w:rPr>
          <w:rFonts w:ascii="Verdana" w:hAnsi="Verdana"/>
          <w:sz w:val="20"/>
          <w:szCs w:val="20"/>
        </w:rPr>
        <w:t xml:space="preserve"> durch SPITEX-Organisationen ausgeführt</w:t>
      </w:r>
      <w:r>
        <w:rPr>
          <w:rFonts w:ascii="Verdana" w:hAnsi="Verdana"/>
          <w:sz w:val="20"/>
          <w:szCs w:val="20"/>
        </w:rPr>
        <w:t>.</w:t>
      </w:r>
    </w:p>
    <w:p w:rsidR="00C720C6" w:rsidRPr="00C720C6" w:rsidRDefault="00C720C6" w:rsidP="00C720C6">
      <w:pPr>
        <w:numPr>
          <w:ilvl w:val="0"/>
          <w:numId w:val="2"/>
        </w:numPr>
        <w:spacing w:before="120"/>
        <w:ind w:left="284" w:hanging="284"/>
        <w:jc w:val="both"/>
        <w:rPr>
          <w:rFonts w:ascii="Verdana" w:hAnsi="Verdana"/>
          <w:sz w:val="20"/>
          <w:szCs w:val="20"/>
        </w:rPr>
      </w:pPr>
      <w:r w:rsidRPr="00C720C6">
        <w:rPr>
          <w:rFonts w:ascii="Verdana" w:hAnsi="Verdana"/>
          <w:sz w:val="20"/>
          <w:szCs w:val="20"/>
        </w:rPr>
        <w:t xml:space="preserve">Auslagen für </w:t>
      </w:r>
      <w:r w:rsidRPr="00C720C6">
        <w:rPr>
          <w:rFonts w:ascii="Verdana" w:hAnsi="Verdana"/>
          <w:b/>
          <w:bCs/>
          <w:sz w:val="20"/>
          <w:szCs w:val="20"/>
        </w:rPr>
        <w:t>private Hilfe</w:t>
      </w:r>
      <w:r w:rsidRPr="00C720C6">
        <w:rPr>
          <w:rFonts w:ascii="Verdana" w:hAnsi="Verdana"/>
          <w:sz w:val="20"/>
          <w:szCs w:val="20"/>
        </w:rPr>
        <w:t xml:space="preserve"> im Haushalt bis maximal Fr. 4'800.</w:t>
      </w:r>
      <w:r>
        <w:rPr>
          <w:rFonts w:ascii="Verdana" w:hAnsi="Verdana"/>
          <w:sz w:val="20"/>
          <w:szCs w:val="20"/>
        </w:rPr>
        <w:t>00</w:t>
      </w:r>
      <w:r w:rsidRPr="00C720C6">
        <w:rPr>
          <w:rFonts w:ascii="Verdana" w:hAnsi="Verdana"/>
          <w:sz w:val="20"/>
          <w:szCs w:val="20"/>
        </w:rPr>
        <w:t xml:space="preserve"> im Jahr</w:t>
      </w:r>
      <w:r>
        <w:rPr>
          <w:rFonts w:ascii="Verdana" w:hAnsi="Verdana"/>
          <w:sz w:val="20"/>
          <w:szCs w:val="20"/>
        </w:rPr>
        <w:t>.</w:t>
      </w:r>
    </w:p>
    <w:p w:rsidR="00C720C6" w:rsidRPr="00C720C6" w:rsidRDefault="00C720C6" w:rsidP="00C720C6">
      <w:pPr>
        <w:numPr>
          <w:ilvl w:val="0"/>
          <w:numId w:val="2"/>
        </w:numPr>
        <w:spacing w:before="120"/>
        <w:ind w:left="284" w:hanging="284"/>
        <w:jc w:val="both"/>
        <w:rPr>
          <w:rFonts w:ascii="Verdana" w:hAnsi="Verdana"/>
          <w:b/>
          <w:bCs/>
          <w:sz w:val="20"/>
          <w:szCs w:val="20"/>
        </w:rPr>
      </w:pPr>
      <w:r w:rsidRPr="00C720C6">
        <w:rPr>
          <w:rFonts w:ascii="Verdana" w:hAnsi="Verdana"/>
          <w:b/>
          <w:bCs/>
          <w:sz w:val="20"/>
          <w:szCs w:val="20"/>
        </w:rPr>
        <w:t>Hilfsmittel, Pflege- und Behandlungsgeräte</w:t>
      </w:r>
    </w:p>
    <w:p w:rsidR="00C720C6" w:rsidRDefault="00C720C6">
      <w:pPr>
        <w:rPr>
          <w:rFonts w:ascii="Verdana" w:hAnsi="Verdana"/>
          <w:sz w:val="20"/>
          <w:szCs w:val="20"/>
        </w:rPr>
      </w:pPr>
      <w:r>
        <w:rPr>
          <w:rFonts w:ascii="Verdana" w:hAnsi="Verdana"/>
          <w:sz w:val="20"/>
          <w:szCs w:val="20"/>
        </w:rPr>
        <w:br w:type="page"/>
      </w:r>
    </w:p>
    <w:p w:rsidR="00C720C6" w:rsidRPr="00C720C6" w:rsidRDefault="00C720C6" w:rsidP="00C720C6">
      <w:pPr>
        <w:jc w:val="both"/>
        <w:rPr>
          <w:rFonts w:ascii="Verdana" w:hAnsi="Verdana"/>
          <w:sz w:val="20"/>
          <w:szCs w:val="20"/>
        </w:rPr>
      </w:pPr>
    </w:p>
    <w:p w:rsidR="00C720C6" w:rsidRPr="00C720C6" w:rsidRDefault="00C720C6" w:rsidP="00C720C6">
      <w:pPr>
        <w:jc w:val="both"/>
        <w:rPr>
          <w:rFonts w:ascii="Verdana" w:hAnsi="Verdana"/>
          <w:sz w:val="20"/>
          <w:szCs w:val="20"/>
        </w:rPr>
      </w:pPr>
      <w:r w:rsidRPr="00C720C6">
        <w:rPr>
          <w:rFonts w:ascii="Verdana" w:hAnsi="Verdana"/>
          <w:sz w:val="20"/>
          <w:szCs w:val="20"/>
        </w:rPr>
        <w:t>Pro Jahr können für Krankheits-, Behinderungs- und Zahnbehandlungskosten höchs</w:t>
      </w:r>
      <w:r>
        <w:rPr>
          <w:rFonts w:ascii="Verdana" w:hAnsi="Verdana"/>
          <w:sz w:val="20"/>
          <w:szCs w:val="20"/>
        </w:rPr>
        <w:t>tens fol</w:t>
      </w:r>
      <w:r w:rsidRPr="00C720C6">
        <w:rPr>
          <w:rFonts w:ascii="Verdana" w:hAnsi="Verdana"/>
          <w:sz w:val="20"/>
          <w:szCs w:val="20"/>
        </w:rPr>
        <w:t>gende Beiträge vergütet werden:</w:t>
      </w:r>
    </w:p>
    <w:p w:rsidR="00C720C6" w:rsidRPr="00C720C6" w:rsidRDefault="00C720C6" w:rsidP="00C720C6">
      <w:pPr>
        <w:numPr>
          <w:ilvl w:val="0"/>
          <w:numId w:val="2"/>
        </w:numPr>
        <w:spacing w:before="120"/>
        <w:ind w:left="284" w:hanging="284"/>
        <w:rPr>
          <w:rFonts w:ascii="Verdana" w:hAnsi="Verdana"/>
          <w:sz w:val="20"/>
          <w:szCs w:val="20"/>
        </w:rPr>
      </w:pPr>
      <w:r w:rsidRPr="00C720C6">
        <w:rPr>
          <w:rFonts w:ascii="Verdana" w:hAnsi="Verdana"/>
          <w:sz w:val="20"/>
          <w:szCs w:val="20"/>
        </w:rPr>
        <w:t>Für zu Hause wohnende Personen:</w:t>
      </w:r>
      <w:r w:rsidRPr="00C720C6">
        <w:rPr>
          <w:rFonts w:ascii="Verdana" w:hAnsi="Verdana"/>
          <w:sz w:val="20"/>
          <w:szCs w:val="20"/>
        </w:rPr>
        <w:br/>
        <w:t>Fr. 25'000.</w:t>
      </w:r>
      <w:r>
        <w:rPr>
          <w:rFonts w:ascii="Verdana" w:hAnsi="Verdana"/>
          <w:sz w:val="20"/>
          <w:szCs w:val="20"/>
        </w:rPr>
        <w:t>00</w:t>
      </w:r>
      <w:r w:rsidRPr="00C720C6">
        <w:rPr>
          <w:rFonts w:ascii="Verdana" w:hAnsi="Verdana"/>
          <w:sz w:val="20"/>
          <w:szCs w:val="20"/>
        </w:rPr>
        <w:t xml:space="preserve"> </w:t>
      </w:r>
      <w:r>
        <w:rPr>
          <w:rFonts w:ascii="Verdana" w:hAnsi="Verdana"/>
          <w:sz w:val="20"/>
          <w:szCs w:val="20"/>
        </w:rPr>
        <w:t xml:space="preserve">für Alleinstehende </w:t>
      </w:r>
      <w:r>
        <w:rPr>
          <w:rFonts w:ascii="Verdana" w:hAnsi="Verdana"/>
          <w:sz w:val="20"/>
          <w:szCs w:val="20"/>
        </w:rPr>
        <w:br/>
        <w:t>Fr. 50'000.00 für Ehepaare</w:t>
      </w:r>
      <w:r>
        <w:rPr>
          <w:rFonts w:ascii="Verdana" w:hAnsi="Verdana"/>
          <w:sz w:val="20"/>
          <w:szCs w:val="20"/>
        </w:rPr>
        <w:br/>
        <w:t xml:space="preserve">Fr. 10'000.00 </w:t>
      </w:r>
      <w:r w:rsidRPr="00C720C6">
        <w:rPr>
          <w:rFonts w:ascii="Verdana" w:hAnsi="Verdana"/>
          <w:sz w:val="20"/>
          <w:szCs w:val="20"/>
        </w:rPr>
        <w:t>für Vollwaisen</w:t>
      </w:r>
    </w:p>
    <w:p w:rsidR="00C720C6" w:rsidRPr="00C720C6" w:rsidRDefault="00C720C6" w:rsidP="00C720C6">
      <w:pPr>
        <w:ind w:left="284"/>
        <w:jc w:val="both"/>
        <w:rPr>
          <w:rFonts w:ascii="Verdana" w:hAnsi="Verdana"/>
          <w:sz w:val="20"/>
          <w:szCs w:val="20"/>
        </w:rPr>
      </w:pPr>
      <w:r w:rsidRPr="00C720C6">
        <w:rPr>
          <w:rFonts w:ascii="Verdana" w:hAnsi="Verdana"/>
          <w:sz w:val="20"/>
          <w:szCs w:val="20"/>
        </w:rPr>
        <w:t>(Diese Beträge werden unter bestimmten Voraussetzungen erhöht, wenn invaliden Personen mit einer mittelschweren oder schweren Hilflosenentschädigung Kosten für Pflege und Betreuung entstehen).</w:t>
      </w:r>
    </w:p>
    <w:p w:rsidR="00C720C6" w:rsidRPr="00C720C6" w:rsidRDefault="00C720C6" w:rsidP="00C720C6">
      <w:pPr>
        <w:numPr>
          <w:ilvl w:val="0"/>
          <w:numId w:val="2"/>
        </w:numPr>
        <w:spacing w:before="120"/>
        <w:ind w:left="284" w:hanging="284"/>
        <w:rPr>
          <w:rFonts w:ascii="Verdana" w:hAnsi="Verdana"/>
          <w:sz w:val="20"/>
          <w:szCs w:val="20"/>
        </w:rPr>
      </w:pPr>
      <w:r w:rsidRPr="00C720C6">
        <w:rPr>
          <w:rFonts w:ascii="Verdana" w:hAnsi="Verdana"/>
          <w:sz w:val="20"/>
          <w:szCs w:val="20"/>
        </w:rPr>
        <w:t>Für in Heimen wohnende Personen pro Person höchstens Fr. 6'000.</w:t>
      </w:r>
      <w:r>
        <w:rPr>
          <w:rFonts w:ascii="Verdana" w:hAnsi="Verdana"/>
          <w:sz w:val="20"/>
          <w:szCs w:val="20"/>
        </w:rPr>
        <w:t>00</w:t>
      </w:r>
      <w:r w:rsidRPr="00C720C6">
        <w:rPr>
          <w:rFonts w:ascii="Verdana" w:hAnsi="Verdana"/>
          <w:sz w:val="20"/>
          <w:szCs w:val="20"/>
        </w:rPr>
        <w:t>.</w:t>
      </w:r>
    </w:p>
    <w:p w:rsidR="00C720C6" w:rsidRPr="00C720C6" w:rsidRDefault="00C720C6" w:rsidP="00C720C6">
      <w:pPr>
        <w:rPr>
          <w:rFonts w:ascii="Verdana" w:eastAsiaTheme="minorHAnsi" w:hAnsi="Verdana" w:cstheme="minorBidi"/>
          <w:sz w:val="20"/>
          <w:szCs w:val="20"/>
          <w:lang w:eastAsia="en-US"/>
        </w:rPr>
      </w:pPr>
    </w:p>
    <w:p w:rsidR="00E5542E" w:rsidRPr="00C720C6" w:rsidRDefault="00E5542E" w:rsidP="00C720C6">
      <w:pPr>
        <w:jc w:val="both"/>
        <w:rPr>
          <w:rFonts w:ascii="Verdana" w:hAnsi="Verdana"/>
          <w:sz w:val="20"/>
          <w:szCs w:val="20"/>
        </w:rPr>
      </w:pPr>
    </w:p>
    <w:sectPr w:rsidR="00E5542E" w:rsidRPr="00C720C6" w:rsidSect="0054701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134" w:left="1418" w:header="720" w:footer="284" w:gutter="0"/>
      <w:pgNumType w:start="1"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02" w:rsidRDefault="00611002">
      <w:r>
        <w:separator/>
      </w:r>
    </w:p>
  </w:endnote>
  <w:endnote w:type="continuationSeparator" w:id="0">
    <w:p w:rsidR="00611002" w:rsidRDefault="0061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2D2" w:rsidRDefault="009142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082444"/>
      <w:docPartObj>
        <w:docPartGallery w:val="Page Numbers (Bottom of Page)"/>
        <w:docPartUnique/>
      </w:docPartObj>
    </w:sdtPr>
    <w:sdtEndPr>
      <w:rPr>
        <w:rFonts w:ascii="Arial" w:hAnsi="Arial"/>
        <w:sz w:val="16"/>
        <w:szCs w:val="16"/>
      </w:rPr>
    </w:sdtEndPr>
    <w:sdtContent>
      <w:p w:rsidR="003115E9" w:rsidRPr="000737A1" w:rsidRDefault="003115E9">
        <w:pPr>
          <w:pStyle w:val="Fuzeile"/>
          <w:jc w:val="right"/>
          <w:rPr>
            <w:rFonts w:ascii="Arial" w:hAnsi="Arial"/>
            <w:sz w:val="16"/>
            <w:szCs w:val="16"/>
          </w:rPr>
        </w:pPr>
        <w:r w:rsidRPr="000737A1">
          <w:rPr>
            <w:rFonts w:ascii="Arial" w:hAnsi="Arial"/>
            <w:sz w:val="16"/>
            <w:szCs w:val="16"/>
          </w:rPr>
          <w:fldChar w:fldCharType="begin"/>
        </w:r>
        <w:r w:rsidRPr="000737A1">
          <w:rPr>
            <w:rFonts w:ascii="Arial" w:hAnsi="Arial"/>
            <w:sz w:val="16"/>
            <w:szCs w:val="16"/>
          </w:rPr>
          <w:instrText>PAGE   \* MERGEFORMAT</w:instrText>
        </w:r>
        <w:r w:rsidRPr="000737A1">
          <w:rPr>
            <w:rFonts w:ascii="Arial" w:hAnsi="Arial"/>
            <w:sz w:val="16"/>
            <w:szCs w:val="16"/>
          </w:rPr>
          <w:fldChar w:fldCharType="separate"/>
        </w:r>
        <w:r w:rsidR="009142D2" w:rsidRPr="009142D2">
          <w:rPr>
            <w:rFonts w:ascii="Arial" w:hAnsi="Arial"/>
            <w:noProof/>
            <w:sz w:val="16"/>
            <w:szCs w:val="16"/>
            <w:lang w:val="de-DE"/>
          </w:rPr>
          <w:t>2</w:t>
        </w:r>
        <w:r w:rsidRPr="000737A1">
          <w:rPr>
            <w:rFonts w:ascii="Arial" w:hAnsi="Arial"/>
            <w:sz w:val="16"/>
            <w:szCs w:val="16"/>
          </w:rPr>
          <w:fldChar w:fldCharType="end"/>
        </w:r>
      </w:p>
    </w:sdtContent>
  </w:sdt>
  <w:p w:rsidR="003115E9" w:rsidRDefault="003115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EE" w:rsidRPr="006D422D" w:rsidRDefault="00383C1B" w:rsidP="00674EA5">
    <w:pPr>
      <w:pStyle w:val="Fuzeile"/>
      <w:pBdr>
        <w:top w:val="single" w:sz="4" w:space="1" w:color="auto"/>
      </w:pBdr>
      <w:rPr>
        <w:rFonts w:ascii="Arial" w:hAnsi="Arial"/>
        <w:sz w:val="16"/>
        <w:szCs w:val="16"/>
      </w:rPr>
    </w:pPr>
    <w:r>
      <w:rPr>
        <w:rFonts w:ascii="Arial" w:hAnsi="Arial"/>
        <w:sz w:val="16"/>
        <w:szCs w:val="16"/>
      </w:rPr>
      <w:t xml:space="preserve">KOKES Handbuch </w:t>
    </w:r>
    <w:proofErr w:type="spellStart"/>
    <w:r w:rsidR="005D7D9F">
      <w:rPr>
        <w:rFonts w:ascii="Arial" w:hAnsi="Arial"/>
        <w:sz w:val="16"/>
        <w:szCs w:val="16"/>
      </w:rPr>
      <w:t>P</w:t>
    </w:r>
    <w:r>
      <w:rPr>
        <w:rFonts w:ascii="Arial" w:hAnsi="Arial"/>
        <w:sz w:val="16"/>
        <w:szCs w:val="16"/>
      </w:rPr>
      <w:t>riMa</w:t>
    </w:r>
    <w:proofErr w:type="spellEnd"/>
    <w:r>
      <w:rPr>
        <w:rFonts w:ascii="Arial" w:hAnsi="Arial"/>
        <w:sz w:val="16"/>
        <w:szCs w:val="16"/>
      </w:rPr>
      <w:t xml:space="preserve"> Version </w:t>
    </w:r>
    <w:r w:rsidR="005E01EE">
      <w:rPr>
        <w:rFonts w:ascii="Arial" w:hAnsi="Arial"/>
        <w:sz w:val="16"/>
        <w:szCs w:val="16"/>
      </w:rPr>
      <w:t>KESB Bezirk Dielsdorf</w:t>
    </w:r>
    <w:r w:rsidR="005E01EE">
      <w:rPr>
        <w:rFonts w:ascii="Arial" w:hAnsi="Arial"/>
        <w:sz w:val="16"/>
        <w:szCs w:val="16"/>
      </w:rPr>
      <w:tab/>
    </w:r>
    <w:r w:rsidR="005E01EE">
      <w:rPr>
        <w:rFonts w:ascii="Arial" w:hAnsi="Arial"/>
        <w:sz w:val="16"/>
        <w:szCs w:val="16"/>
      </w:rPr>
      <w:tab/>
      <w:t>Anhang 12b</w:t>
    </w:r>
  </w:p>
  <w:p w:rsidR="003115E9" w:rsidRPr="005E01EE" w:rsidRDefault="005D7D9F">
    <w:pPr>
      <w:pStyle w:val="Fuzeile"/>
      <w:rPr>
        <w:rFonts w:ascii="Arial" w:hAnsi="Arial"/>
        <w:sz w:val="16"/>
        <w:szCs w:val="16"/>
      </w:rPr>
    </w:pPr>
    <w:r>
      <w:rPr>
        <w:rFonts w:ascii="Arial" w:hAnsi="Arial"/>
        <w:sz w:val="16"/>
        <w:szCs w:val="16"/>
      </w:rPr>
      <w:t>Januar 2024</w:t>
    </w:r>
    <w:r w:rsidR="005E01EE" w:rsidRPr="006D422D">
      <w:rPr>
        <w:rFonts w:ascii="Arial" w:hAnsi="Arial"/>
        <w:sz w:val="16"/>
        <w:szCs w:val="16"/>
      </w:rPr>
      <w:tab/>
    </w:r>
    <w:r w:rsidR="005E01EE" w:rsidRPr="006D422D">
      <w:rPr>
        <w:rFonts w:ascii="Arial" w:hAnsi="Arial"/>
        <w:sz w:val="16"/>
        <w:szCs w:val="16"/>
      </w:rPr>
      <w:tab/>
    </w:r>
    <w:r w:rsidR="005E01EE">
      <w:rPr>
        <w:rFonts w:ascii="Arial" w:hAnsi="Arial"/>
        <w:sz w:val="16"/>
        <w:szCs w:val="16"/>
      </w:rPr>
      <w:t>Ergänzungsleistungen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02" w:rsidRDefault="00611002">
      <w:r>
        <w:separator/>
      </w:r>
    </w:p>
  </w:footnote>
  <w:footnote w:type="continuationSeparator" w:id="0">
    <w:p w:rsidR="00611002" w:rsidRDefault="0061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2D2" w:rsidRDefault="009142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31" w:rsidRDefault="00880331" w:rsidP="00C45AE1">
    <w:pPr>
      <w:pStyle w:val="Kopfzeile"/>
    </w:pPr>
  </w:p>
  <w:p w:rsidR="00880331" w:rsidRDefault="008803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31" w:rsidRDefault="00880331">
    <w:pPr>
      <w:pStyle w:val="Kopfzeile"/>
    </w:pPr>
    <w:r>
      <w:rPr>
        <w:noProof/>
        <w:lang w:eastAsia="de-CH"/>
      </w:rPr>
      <w:drawing>
        <wp:anchor distT="0" distB="0" distL="114300" distR="114300" simplePos="0" relativeHeight="251656191" behindDoc="1" locked="0" layoutInCell="1" allowOverlap="1" wp14:anchorId="024C1843" wp14:editId="3C4B85C7">
          <wp:simplePos x="0" y="0"/>
          <wp:positionH relativeFrom="column">
            <wp:posOffset>3239770</wp:posOffset>
          </wp:positionH>
          <wp:positionV relativeFrom="paragraph">
            <wp:posOffset>-88900</wp:posOffset>
          </wp:positionV>
          <wp:extent cx="3162300" cy="449580"/>
          <wp:effectExtent l="0" t="0" r="0" b="7620"/>
          <wp:wrapTight wrapText="bothSides">
            <wp:wrapPolygon edited="0">
              <wp:start x="0" y="0"/>
              <wp:lineTo x="0" y="21051"/>
              <wp:lineTo x="21470" y="21051"/>
              <wp:lineTo x="21470"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449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E3D05BF8"/>
    <w:lvl w:ilvl="0">
      <w:numFmt w:val="decimal"/>
      <w:lvlText w:val="*"/>
      <w:lvlJc w:val="left"/>
      <w:pPr>
        <w:ind w:left="0" w:firstLine="0"/>
      </w:pPr>
      <w:rPr>
        <w:rFonts w:cs="Times New Roman"/>
      </w:rPr>
    </w:lvl>
  </w:abstractNum>
  <w:abstractNum w:abstractNumId="1" w15:restartNumberingAfterBreak="0">
    <w:nsid w:val="00000013"/>
    <w:multiLevelType w:val="hybridMultilevel"/>
    <w:tmpl w:val="482E6C32"/>
    <w:lvl w:ilvl="0" w:tplc="E266299A">
      <w:start w:val="1"/>
      <w:numFmt w:val="bullet"/>
      <w:lvlText w:val=""/>
      <w:lvlJc w:val="left"/>
      <w:pPr>
        <w:tabs>
          <w:tab w:val="num" w:pos="360"/>
        </w:tabs>
        <w:ind w:left="360" w:hanging="360"/>
      </w:pPr>
      <w:rPr>
        <w:rFonts w:ascii="Symbol" w:hAnsi="Symbol" w:hint="default"/>
        <w:color w:val="auto"/>
        <w:sz w:val="22"/>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15"/>
    <w:multiLevelType w:val="hybridMultilevel"/>
    <w:tmpl w:val="87BE092C"/>
    <w:lvl w:ilvl="0" w:tplc="E266299A">
      <w:start w:val="1"/>
      <w:numFmt w:val="bullet"/>
      <w:lvlText w:val=""/>
      <w:lvlJc w:val="left"/>
      <w:pPr>
        <w:tabs>
          <w:tab w:val="num" w:pos="360"/>
        </w:tabs>
        <w:ind w:left="360" w:hanging="360"/>
      </w:pPr>
      <w:rPr>
        <w:rFonts w:ascii="Symbol" w:hAnsi="Symbol" w:hint="default"/>
        <w:color w:val="auto"/>
        <w:sz w:val="22"/>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02"/>
    <w:rsid w:val="00026BB9"/>
    <w:rsid w:val="000342D9"/>
    <w:rsid w:val="00036728"/>
    <w:rsid w:val="00044D55"/>
    <w:rsid w:val="00051E77"/>
    <w:rsid w:val="00053CE9"/>
    <w:rsid w:val="000737A1"/>
    <w:rsid w:val="00080129"/>
    <w:rsid w:val="0008238F"/>
    <w:rsid w:val="00085F25"/>
    <w:rsid w:val="000B31AF"/>
    <w:rsid w:val="000B7D3D"/>
    <w:rsid w:val="000C7A53"/>
    <w:rsid w:val="000E7EEB"/>
    <w:rsid w:val="000F2EF5"/>
    <w:rsid w:val="0010077B"/>
    <w:rsid w:val="00110CCE"/>
    <w:rsid w:val="001152BF"/>
    <w:rsid w:val="00172869"/>
    <w:rsid w:val="00173A3F"/>
    <w:rsid w:val="0019318B"/>
    <w:rsid w:val="001B4970"/>
    <w:rsid w:val="001D1253"/>
    <w:rsid w:val="001D78D0"/>
    <w:rsid w:val="001E0DD3"/>
    <w:rsid w:val="001F46AF"/>
    <w:rsid w:val="002138D4"/>
    <w:rsid w:val="00224645"/>
    <w:rsid w:val="00247D4D"/>
    <w:rsid w:val="002A06E2"/>
    <w:rsid w:val="002A1378"/>
    <w:rsid w:val="002E79CF"/>
    <w:rsid w:val="0030422B"/>
    <w:rsid w:val="00305CF7"/>
    <w:rsid w:val="00307EDC"/>
    <w:rsid w:val="003115E9"/>
    <w:rsid w:val="0032185D"/>
    <w:rsid w:val="003219B3"/>
    <w:rsid w:val="00342F0E"/>
    <w:rsid w:val="00345666"/>
    <w:rsid w:val="00363B76"/>
    <w:rsid w:val="00372816"/>
    <w:rsid w:val="00375280"/>
    <w:rsid w:val="003753A6"/>
    <w:rsid w:val="00380285"/>
    <w:rsid w:val="003837BC"/>
    <w:rsid w:val="00383C1B"/>
    <w:rsid w:val="003A0A11"/>
    <w:rsid w:val="003F1543"/>
    <w:rsid w:val="003F272C"/>
    <w:rsid w:val="004008CD"/>
    <w:rsid w:val="004025A8"/>
    <w:rsid w:val="004136CA"/>
    <w:rsid w:val="0046519A"/>
    <w:rsid w:val="0047235F"/>
    <w:rsid w:val="004A71F1"/>
    <w:rsid w:val="004B0EE3"/>
    <w:rsid w:val="004C0A3B"/>
    <w:rsid w:val="004C6BA8"/>
    <w:rsid w:val="004E16B3"/>
    <w:rsid w:val="00523A6C"/>
    <w:rsid w:val="0054701C"/>
    <w:rsid w:val="00550E44"/>
    <w:rsid w:val="005956D5"/>
    <w:rsid w:val="005A71B2"/>
    <w:rsid w:val="005C4D09"/>
    <w:rsid w:val="005D0420"/>
    <w:rsid w:val="005D7D9F"/>
    <w:rsid w:val="005E01EE"/>
    <w:rsid w:val="005E3F17"/>
    <w:rsid w:val="00611002"/>
    <w:rsid w:val="0062422D"/>
    <w:rsid w:val="006329EA"/>
    <w:rsid w:val="00632C92"/>
    <w:rsid w:val="006447D5"/>
    <w:rsid w:val="00645ED9"/>
    <w:rsid w:val="00655E9E"/>
    <w:rsid w:val="006574B2"/>
    <w:rsid w:val="006612C6"/>
    <w:rsid w:val="00663816"/>
    <w:rsid w:val="00667E73"/>
    <w:rsid w:val="00674EA5"/>
    <w:rsid w:val="00692A97"/>
    <w:rsid w:val="006933E7"/>
    <w:rsid w:val="006A468D"/>
    <w:rsid w:val="006B4AC5"/>
    <w:rsid w:val="006D4804"/>
    <w:rsid w:val="006E7B20"/>
    <w:rsid w:val="006F5978"/>
    <w:rsid w:val="007052EF"/>
    <w:rsid w:val="007320E3"/>
    <w:rsid w:val="0074358A"/>
    <w:rsid w:val="007477F1"/>
    <w:rsid w:val="00752733"/>
    <w:rsid w:val="007579F9"/>
    <w:rsid w:val="007A1FE2"/>
    <w:rsid w:val="007B1AA5"/>
    <w:rsid w:val="007B3CB6"/>
    <w:rsid w:val="007D03A1"/>
    <w:rsid w:val="007D54DF"/>
    <w:rsid w:val="007D5DF5"/>
    <w:rsid w:val="007F48B0"/>
    <w:rsid w:val="00843DA4"/>
    <w:rsid w:val="00847273"/>
    <w:rsid w:val="00855638"/>
    <w:rsid w:val="008556B8"/>
    <w:rsid w:val="00866C68"/>
    <w:rsid w:val="00880331"/>
    <w:rsid w:val="00891ACD"/>
    <w:rsid w:val="00897D93"/>
    <w:rsid w:val="008A5BA5"/>
    <w:rsid w:val="008C40E1"/>
    <w:rsid w:val="00904709"/>
    <w:rsid w:val="009142D2"/>
    <w:rsid w:val="00925200"/>
    <w:rsid w:val="00935ED1"/>
    <w:rsid w:val="009454D5"/>
    <w:rsid w:val="009571CD"/>
    <w:rsid w:val="009573B4"/>
    <w:rsid w:val="0096448F"/>
    <w:rsid w:val="009762EA"/>
    <w:rsid w:val="00981376"/>
    <w:rsid w:val="00981FA0"/>
    <w:rsid w:val="0099312D"/>
    <w:rsid w:val="009A36D3"/>
    <w:rsid w:val="009A599D"/>
    <w:rsid w:val="009B6633"/>
    <w:rsid w:val="009C4B38"/>
    <w:rsid w:val="009C5240"/>
    <w:rsid w:val="00A15837"/>
    <w:rsid w:val="00A16C7F"/>
    <w:rsid w:val="00A40408"/>
    <w:rsid w:val="00A44F23"/>
    <w:rsid w:val="00A47BE9"/>
    <w:rsid w:val="00A50C07"/>
    <w:rsid w:val="00A62B8F"/>
    <w:rsid w:val="00A650EF"/>
    <w:rsid w:val="00A759C9"/>
    <w:rsid w:val="00AA3C9C"/>
    <w:rsid w:val="00AC267E"/>
    <w:rsid w:val="00AC5556"/>
    <w:rsid w:val="00AD42F0"/>
    <w:rsid w:val="00AF2525"/>
    <w:rsid w:val="00B050EB"/>
    <w:rsid w:val="00B10672"/>
    <w:rsid w:val="00B13F52"/>
    <w:rsid w:val="00B30266"/>
    <w:rsid w:val="00B32327"/>
    <w:rsid w:val="00B33702"/>
    <w:rsid w:val="00B664C4"/>
    <w:rsid w:val="00B67B74"/>
    <w:rsid w:val="00B715FF"/>
    <w:rsid w:val="00B77CED"/>
    <w:rsid w:val="00BB7892"/>
    <w:rsid w:val="00BE391B"/>
    <w:rsid w:val="00BE5F0C"/>
    <w:rsid w:val="00C0381D"/>
    <w:rsid w:val="00C11C65"/>
    <w:rsid w:val="00C21629"/>
    <w:rsid w:val="00C45AE1"/>
    <w:rsid w:val="00C720C6"/>
    <w:rsid w:val="00C75B57"/>
    <w:rsid w:val="00C84115"/>
    <w:rsid w:val="00C8412E"/>
    <w:rsid w:val="00CA42C9"/>
    <w:rsid w:val="00CC2071"/>
    <w:rsid w:val="00CC56A8"/>
    <w:rsid w:val="00CE0A70"/>
    <w:rsid w:val="00CF5A66"/>
    <w:rsid w:val="00D02BCD"/>
    <w:rsid w:val="00D11119"/>
    <w:rsid w:val="00D1599E"/>
    <w:rsid w:val="00D4217C"/>
    <w:rsid w:val="00D44D25"/>
    <w:rsid w:val="00D50333"/>
    <w:rsid w:val="00D7030E"/>
    <w:rsid w:val="00DB40A5"/>
    <w:rsid w:val="00DD20C5"/>
    <w:rsid w:val="00DF24C8"/>
    <w:rsid w:val="00E20656"/>
    <w:rsid w:val="00E31F4D"/>
    <w:rsid w:val="00E358CB"/>
    <w:rsid w:val="00E41C02"/>
    <w:rsid w:val="00E5542E"/>
    <w:rsid w:val="00E56284"/>
    <w:rsid w:val="00E7345C"/>
    <w:rsid w:val="00E94FA4"/>
    <w:rsid w:val="00EA1AA7"/>
    <w:rsid w:val="00ED0BA3"/>
    <w:rsid w:val="00ED77DD"/>
    <w:rsid w:val="00EF2F7C"/>
    <w:rsid w:val="00EF5E1C"/>
    <w:rsid w:val="00F00F6A"/>
    <w:rsid w:val="00F073A9"/>
    <w:rsid w:val="00F35F4D"/>
    <w:rsid w:val="00F41A42"/>
    <w:rsid w:val="00F7667A"/>
    <w:rsid w:val="00F840B3"/>
    <w:rsid w:val="00FA5B07"/>
    <w:rsid w:val="00FF2E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2224A6A-2CF1-4E75-9665-6B5C7EFA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47D4D"/>
    <w:rPr>
      <w:rFonts w:ascii="Century Gothic" w:hAnsi="Century Gothic"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519A"/>
    <w:pPr>
      <w:tabs>
        <w:tab w:val="center" w:pos="4536"/>
        <w:tab w:val="right" w:pos="9072"/>
      </w:tabs>
    </w:pPr>
  </w:style>
  <w:style w:type="paragraph" w:styleId="Fuzeile">
    <w:name w:val="footer"/>
    <w:basedOn w:val="Standard"/>
    <w:link w:val="FuzeileZchn"/>
    <w:uiPriority w:val="99"/>
    <w:rsid w:val="0046519A"/>
    <w:pPr>
      <w:tabs>
        <w:tab w:val="center" w:pos="4536"/>
        <w:tab w:val="right" w:pos="9072"/>
      </w:tabs>
    </w:pPr>
  </w:style>
  <w:style w:type="paragraph" w:styleId="Liste">
    <w:name w:val="List"/>
    <w:basedOn w:val="Standard"/>
    <w:rsid w:val="007F48B0"/>
    <w:pPr>
      <w:ind w:left="283" w:hanging="283"/>
    </w:pPr>
  </w:style>
  <w:style w:type="paragraph" w:styleId="Sprechblasentext">
    <w:name w:val="Balloon Text"/>
    <w:basedOn w:val="Standard"/>
    <w:semiHidden/>
    <w:rsid w:val="002A06E2"/>
    <w:rPr>
      <w:rFonts w:ascii="Tahoma" w:hAnsi="Tahoma" w:cs="Tahoma"/>
      <w:sz w:val="16"/>
      <w:szCs w:val="16"/>
    </w:rPr>
  </w:style>
  <w:style w:type="table" w:styleId="Tabellenraster">
    <w:name w:val="Table Grid"/>
    <w:basedOn w:val="NormaleTabelle"/>
    <w:rsid w:val="00E7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F46AF"/>
    <w:rPr>
      <w:rFonts w:ascii="Century Gothic" w:hAnsi="Century Gothic" w:cs="Arial"/>
      <w:sz w:val="24"/>
      <w:szCs w:val="24"/>
      <w:lang w:eastAsia="de-DE"/>
    </w:rPr>
  </w:style>
  <w:style w:type="character" w:styleId="Hyperlink">
    <w:name w:val="Hyperlink"/>
    <w:basedOn w:val="Absatz-Standardschriftart"/>
    <w:rsid w:val="00053CE9"/>
    <w:rPr>
      <w:color w:val="0000FF" w:themeColor="hyperlink"/>
      <w:u w:val="single"/>
    </w:rPr>
  </w:style>
  <w:style w:type="character" w:customStyle="1" w:styleId="FuzeileZchn">
    <w:name w:val="Fußzeile Zchn"/>
    <w:basedOn w:val="Absatz-Standardschriftart"/>
    <w:link w:val="Fuzeile"/>
    <w:uiPriority w:val="99"/>
    <w:rsid w:val="003115E9"/>
    <w:rPr>
      <w:rFonts w:ascii="Century Gothic" w:hAnsi="Century Gothic" w:cs="Arial"/>
      <w:sz w:val="24"/>
      <w:szCs w:val="24"/>
      <w:lang w:eastAsia="de-DE"/>
    </w:rPr>
  </w:style>
  <w:style w:type="paragraph" w:styleId="Listenabsatz">
    <w:name w:val="List Paragraph"/>
    <w:basedOn w:val="Standard"/>
    <w:uiPriority w:val="34"/>
    <w:qFormat/>
    <w:rsid w:val="0061100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582">
      <w:bodyDiv w:val="1"/>
      <w:marLeft w:val="0"/>
      <w:marRight w:val="0"/>
      <w:marTop w:val="0"/>
      <w:marBottom w:val="0"/>
      <w:divBdr>
        <w:top w:val="none" w:sz="0" w:space="0" w:color="auto"/>
        <w:left w:val="none" w:sz="0" w:space="0" w:color="auto"/>
        <w:bottom w:val="none" w:sz="0" w:space="0" w:color="auto"/>
        <w:right w:val="none" w:sz="0" w:space="0" w:color="auto"/>
      </w:divBdr>
    </w:div>
    <w:div w:id="300812971">
      <w:bodyDiv w:val="1"/>
      <w:marLeft w:val="0"/>
      <w:marRight w:val="0"/>
      <w:marTop w:val="0"/>
      <w:marBottom w:val="0"/>
      <w:divBdr>
        <w:top w:val="none" w:sz="0" w:space="0" w:color="auto"/>
        <w:left w:val="none" w:sz="0" w:space="0" w:color="auto"/>
        <w:bottom w:val="none" w:sz="0" w:space="0" w:color="auto"/>
        <w:right w:val="none" w:sz="0" w:space="0" w:color="auto"/>
      </w:divBdr>
    </w:div>
    <w:div w:id="722752408">
      <w:bodyDiv w:val="1"/>
      <w:marLeft w:val="0"/>
      <w:marRight w:val="0"/>
      <w:marTop w:val="0"/>
      <w:marBottom w:val="0"/>
      <w:divBdr>
        <w:top w:val="none" w:sz="0" w:space="0" w:color="auto"/>
        <w:left w:val="none" w:sz="0" w:space="0" w:color="auto"/>
        <w:bottom w:val="none" w:sz="0" w:space="0" w:color="auto"/>
        <w:right w:val="none" w:sz="0" w:space="0" w:color="auto"/>
      </w:divBdr>
    </w:div>
    <w:div w:id="758213832">
      <w:bodyDiv w:val="1"/>
      <w:marLeft w:val="0"/>
      <w:marRight w:val="0"/>
      <w:marTop w:val="0"/>
      <w:marBottom w:val="0"/>
      <w:divBdr>
        <w:top w:val="none" w:sz="0" w:space="0" w:color="auto"/>
        <w:left w:val="none" w:sz="0" w:space="0" w:color="auto"/>
        <w:bottom w:val="none" w:sz="0" w:space="0" w:color="auto"/>
        <w:right w:val="none" w:sz="0" w:space="0" w:color="auto"/>
      </w:divBdr>
    </w:div>
    <w:div w:id="1144394399">
      <w:bodyDiv w:val="1"/>
      <w:marLeft w:val="0"/>
      <w:marRight w:val="0"/>
      <w:marTop w:val="0"/>
      <w:marBottom w:val="0"/>
      <w:divBdr>
        <w:top w:val="none" w:sz="0" w:space="0" w:color="auto"/>
        <w:left w:val="none" w:sz="0" w:space="0" w:color="auto"/>
        <w:bottom w:val="none" w:sz="0" w:space="0" w:color="auto"/>
        <w:right w:val="none" w:sz="0" w:space="0" w:color="auto"/>
      </w:divBdr>
    </w:div>
    <w:div w:id="1161848488">
      <w:bodyDiv w:val="1"/>
      <w:marLeft w:val="0"/>
      <w:marRight w:val="0"/>
      <w:marTop w:val="0"/>
      <w:marBottom w:val="0"/>
      <w:divBdr>
        <w:top w:val="none" w:sz="0" w:space="0" w:color="auto"/>
        <w:left w:val="none" w:sz="0" w:space="0" w:color="auto"/>
        <w:bottom w:val="none" w:sz="0" w:space="0" w:color="auto"/>
        <w:right w:val="none" w:sz="0" w:space="0" w:color="auto"/>
      </w:divBdr>
    </w:div>
    <w:div w:id="1413353448">
      <w:bodyDiv w:val="1"/>
      <w:marLeft w:val="0"/>
      <w:marRight w:val="0"/>
      <w:marTop w:val="0"/>
      <w:marBottom w:val="0"/>
      <w:divBdr>
        <w:top w:val="none" w:sz="0" w:space="0" w:color="auto"/>
        <w:left w:val="none" w:sz="0" w:space="0" w:color="auto"/>
        <w:bottom w:val="none" w:sz="0" w:space="0" w:color="auto"/>
        <w:right w:val="none" w:sz="0" w:space="0" w:color="auto"/>
      </w:divBdr>
    </w:div>
    <w:div w:id="2058046365">
      <w:bodyDiv w:val="1"/>
      <w:marLeft w:val="0"/>
      <w:marRight w:val="0"/>
      <w:marTop w:val="0"/>
      <w:marBottom w:val="0"/>
      <w:divBdr>
        <w:top w:val="none" w:sz="0" w:space="0" w:color="auto"/>
        <w:left w:val="none" w:sz="0" w:space="0" w:color="auto"/>
        <w:bottom w:val="none" w:sz="0" w:space="0" w:color="auto"/>
        <w:right w:val="none" w:sz="0" w:space="0" w:color="auto"/>
      </w:divBdr>
    </w:div>
    <w:div w:id="21384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KESB\Brief%20Kanzlei%20s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27CA-C926-4756-B2FC-158B3621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Kanzlei sw</Template>
  <TotalTime>0</TotalTime>
  <Pages>2</Pages>
  <Words>404</Words>
  <Characters>2547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Brief Kanzlei</vt:lpstr>
    </vt:vector>
  </TitlesOfParts>
  <Company>ZV SD Dielsdorf</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Kanzlei</dc:title>
  <dc:creator>Lucien Brühlmann</dc:creator>
  <cp:lastModifiedBy>Huber Ivana</cp:lastModifiedBy>
  <cp:revision>2</cp:revision>
  <cp:lastPrinted>2013-11-28T15:38:00Z</cp:lastPrinted>
  <dcterms:created xsi:type="dcterms:W3CDTF">2024-08-02T09:10:00Z</dcterms:created>
  <dcterms:modified xsi:type="dcterms:W3CDTF">2024-08-02T09:10:00Z</dcterms:modified>
</cp:coreProperties>
</file>