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5103"/>
      </w:tblGrid>
      <w:tr w:rsidR="001F46AF" w:rsidRPr="007D03A1" w:rsidTr="009B6633">
        <w:tc>
          <w:tcPr>
            <w:tcW w:w="5353" w:type="dxa"/>
            <w:vAlign w:val="bottom"/>
          </w:tcPr>
          <w:p w:rsidR="009B6633" w:rsidRPr="00A40408" w:rsidRDefault="009B6633" w:rsidP="009B6633">
            <w:pPr>
              <w:rPr>
                <w:rFonts w:ascii="Verdana" w:hAnsi="Verdana"/>
                <w:sz w:val="20"/>
                <w:szCs w:val="20"/>
              </w:rPr>
            </w:pPr>
            <w:bookmarkStart w:id="0" w:name="Text5"/>
            <w:bookmarkStart w:id="1" w:name="_GoBack"/>
            <w:bookmarkEnd w:id="1"/>
          </w:p>
          <w:p w:rsidR="009B6633" w:rsidRPr="00A40408" w:rsidRDefault="009B6633" w:rsidP="009B6633">
            <w:pPr>
              <w:rPr>
                <w:rFonts w:ascii="Verdana" w:hAnsi="Verdana"/>
                <w:sz w:val="20"/>
                <w:szCs w:val="20"/>
              </w:rPr>
            </w:pPr>
          </w:p>
          <w:bookmarkEnd w:id="0"/>
          <w:p w:rsidR="001F46AF" w:rsidRPr="00A40408" w:rsidRDefault="001F46AF" w:rsidP="009B6633">
            <w:pPr>
              <w:pStyle w:val="Kopfzeile"/>
              <w:tabs>
                <w:tab w:val="clear" w:pos="4536"/>
                <w:tab w:val="clear" w:pos="9072"/>
                <w:tab w:val="left" w:pos="7680"/>
              </w:tabs>
              <w:rPr>
                <w:rFonts w:ascii="Verdana" w:hAnsi="Verdana"/>
              </w:rPr>
            </w:pPr>
          </w:p>
        </w:tc>
        <w:tc>
          <w:tcPr>
            <w:tcW w:w="5103" w:type="dxa"/>
          </w:tcPr>
          <w:p w:rsidR="001F46AF" w:rsidRPr="00632C92" w:rsidRDefault="001F46AF" w:rsidP="005A71B2">
            <w:pPr>
              <w:pStyle w:val="Kopfzeile"/>
              <w:tabs>
                <w:tab w:val="clear" w:pos="4536"/>
                <w:tab w:val="clear" w:pos="9072"/>
              </w:tabs>
              <w:ind w:left="-108"/>
              <w:rPr>
                <w:rFonts w:ascii="Verdana" w:hAnsi="Verdana"/>
                <w:sz w:val="14"/>
                <w:szCs w:val="14"/>
              </w:rPr>
            </w:pPr>
            <w:r w:rsidRPr="00632C92">
              <w:rPr>
                <w:rFonts w:ascii="Verdana" w:hAnsi="Verdana"/>
                <w:sz w:val="14"/>
                <w:szCs w:val="14"/>
              </w:rPr>
              <w:t>Honeywell-Platz 1</w:t>
            </w:r>
            <w:r w:rsidR="00053CE9" w:rsidRPr="00632C92">
              <w:rPr>
                <w:rFonts w:ascii="Verdana" w:hAnsi="Verdana"/>
                <w:sz w:val="14"/>
                <w:szCs w:val="14"/>
              </w:rPr>
              <w:t xml:space="preserve"> / </w:t>
            </w:r>
            <w:r w:rsidRPr="00632C92">
              <w:rPr>
                <w:rFonts w:ascii="Verdana" w:hAnsi="Verdana"/>
                <w:sz w:val="14"/>
                <w:szCs w:val="14"/>
              </w:rPr>
              <w:t>Postfach 9</w:t>
            </w:r>
          </w:p>
          <w:p w:rsidR="001F46AF" w:rsidRPr="00632C92" w:rsidRDefault="001F46AF" w:rsidP="005A71B2">
            <w:pPr>
              <w:pStyle w:val="Kopfzeile"/>
              <w:tabs>
                <w:tab w:val="clear" w:pos="4536"/>
                <w:tab w:val="clear" w:pos="9072"/>
              </w:tabs>
              <w:ind w:left="-108"/>
              <w:rPr>
                <w:rFonts w:ascii="Verdana" w:hAnsi="Verdana"/>
                <w:sz w:val="14"/>
                <w:szCs w:val="14"/>
              </w:rPr>
            </w:pPr>
            <w:r w:rsidRPr="00632C92">
              <w:rPr>
                <w:rFonts w:ascii="Verdana" w:hAnsi="Verdana"/>
                <w:sz w:val="14"/>
                <w:szCs w:val="14"/>
              </w:rPr>
              <w:t>8157 Dielsdorf</w:t>
            </w:r>
          </w:p>
          <w:p w:rsidR="001F46AF" w:rsidRPr="00632C92" w:rsidRDefault="001F46AF" w:rsidP="005A71B2">
            <w:pPr>
              <w:pStyle w:val="Kopfzeile"/>
              <w:tabs>
                <w:tab w:val="clear" w:pos="4536"/>
                <w:tab w:val="clear" w:pos="9072"/>
              </w:tabs>
              <w:ind w:left="-108"/>
              <w:rPr>
                <w:rFonts w:ascii="Verdana" w:hAnsi="Verdana"/>
                <w:sz w:val="14"/>
                <w:szCs w:val="14"/>
              </w:rPr>
            </w:pPr>
            <w:r w:rsidRPr="00632C92">
              <w:rPr>
                <w:rFonts w:ascii="Verdana" w:hAnsi="Verdana"/>
                <w:sz w:val="14"/>
                <w:szCs w:val="14"/>
              </w:rPr>
              <w:t>Telefon</w:t>
            </w:r>
            <w:r w:rsidR="00053CE9" w:rsidRPr="00632C92">
              <w:rPr>
                <w:rFonts w:ascii="Verdana" w:hAnsi="Verdana"/>
                <w:sz w:val="14"/>
                <w:szCs w:val="14"/>
              </w:rPr>
              <w:tab/>
            </w:r>
            <w:r w:rsidRPr="00632C92">
              <w:rPr>
                <w:rFonts w:ascii="Verdana" w:hAnsi="Verdana"/>
                <w:sz w:val="14"/>
                <w:szCs w:val="14"/>
              </w:rPr>
              <w:t>044 855 22 33</w:t>
            </w:r>
          </w:p>
          <w:p w:rsidR="001F46AF" w:rsidRPr="00632C92" w:rsidRDefault="001F46AF" w:rsidP="00611002">
            <w:pPr>
              <w:pStyle w:val="Kopfzeile"/>
              <w:tabs>
                <w:tab w:val="clear" w:pos="4536"/>
                <w:tab w:val="clear" w:pos="9072"/>
              </w:tabs>
              <w:ind w:left="-108"/>
              <w:rPr>
                <w:rFonts w:ascii="Verdana" w:hAnsi="Verdana"/>
                <w:sz w:val="14"/>
                <w:szCs w:val="14"/>
                <w:lang w:val="fr-CH"/>
              </w:rPr>
            </w:pPr>
            <w:r w:rsidRPr="00632C92">
              <w:rPr>
                <w:rFonts w:ascii="Verdana" w:hAnsi="Verdana"/>
                <w:sz w:val="14"/>
                <w:szCs w:val="14"/>
                <w:lang w:val="fr-CH"/>
              </w:rPr>
              <w:t xml:space="preserve">Fax </w:t>
            </w:r>
            <w:r w:rsidR="00053CE9" w:rsidRPr="00632C92">
              <w:rPr>
                <w:rFonts w:ascii="Verdana" w:hAnsi="Verdana"/>
                <w:sz w:val="14"/>
                <w:szCs w:val="14"/>
                <w:lang w:val="fr-CH"/>
              </w:rPr>
              <w:tab/>
            </w:r>
            <w:r w:rsidRPr="00632C92">
              <w:rPr>
                <w:rFonts w:ascii="Verdana" w:hAnsi="Verdana"/>
                <w:sz w:val="14"/>
                <w:szCs w:val="14"/>
                <w:lang w:val="fr-CH"/>
              </w:rPr>
              <w:t>044 855 22 39</w:t>
            </w:r>
          </w:p>
          <w:p w:rsidR="001F46AF" w:rsidRPr="00A40408" w:rsidRDefault="001F46AF" w:rsidP="00173A3F">
            <w:pPr>
              <w:pStyle w:val="Kopfzeile"/>
              <w:tabs>
                <w:tab w:val="clear" w:pos="4536"/>
                <w:tab w:val="clear" w:pos="9072"/>
              </w:tabs>
              <w:rPr>
                <w:rFonts w:ascii="Verdana" w:hAnsi="Verdana"/>
                <w:lang w:val="fr-CH"/>
              </w:rPr>
            </w:pPr>
          </w:p>
        </w:tc>
      </w:tr>
    </w:tbl>
    <w:p w:rsidR="00611002" w:rsidRPr="00A62B8F" w:rsidRDefault="00611002" w:rsidP="00A62B8F">
      <w:pPr>
        <w:pBdr>
          <w:top w:val="single" w:sz="4" w:space="1" w:color="auto"/>
          <w:left w:val="single" w:sz="4" w:space="4" w:color="auto"/>
          <w:bottom w:val="single" w:sz="4" w:space="1" w:color="auto"/>
          <w:right w:val="single" w:sz="4" w:space="4" w:color="auto"/>
        </w:pBdr>
        <w:spacing w:after="200" w:line="276" w:lineRule="auto"/>
        <w:jc w:val="center"/>
        <w:rPr>
          <w:rFonts w:ascii="Verdana" w:eastAsiaTheme="minorHAnsi" w:hAnsi="Verdana"/>
          <w:b/>
          <w:sz w:val="36"/>
          <w:szCs w:val="22"/>
          <w:lang w:eastAsia="en-US"/>
        </w:rPr>
      </w:pPr>
      <w:r w:rsidRPr="00A62B8F">
        <w:rPr>
          <w:rFonts w:ascii="Verdana" w:eastAsiaTheme="minorHAnsi" w:hAnsi="Verdana"/>
          <w:b/>
          <w:sz w:val="36"/>
          <w:szCs w:val="22"/>
          <w:lang w:eastAsia="en-US"/>
        </w:rPr>
        <w:t>MERKBLATT</w:t>
      </w:r>
    </w:p>
    <w:p w:rsidR="00611002" w:rsidRPr="00A62B8F" w:rsidRDefault="00E30DB1" w:rsidP="00A62B8F">
      <w:pPr>
        <w:pBdr>
          <w:top w:val="single" w:sz="4" w:space="1" w:color="auto"/>
          <w:left w:val="single" w:sz="4" w:space="4" w:color="auto"/>
          <w:bottom w:val="single" w:sz="4" w:space="1" w:color="auto"/>
          <w:right w:val="single" w:sz="4" w:space="4" w:color="auto"/>
        </w:pBdr>
        <w:spacing w:after="200" w:line="276" w:lineRule="auto"/>
        <w:jc w:val="center"/>
        <w:rPr>
          <w:rFonts w:ascii="Verdana" w:eastAsiaTheme="minorHAnsi" w:hAnsi="Verdana"/>
          <w:b/>
          <w:sz w:val="36"/>
          <w:szCs w:val="22"/>
          <w:lang w:eastAsia="en-US"/>
        </w:rPr>
      </w:pPr>
      <w:r>
        <w:rPr>
          <w:rFonts w:ascii="Verdana" w:eastAsiaTheme="minorHAnsi" w:hAnsi="Verdana"/>
          <w:b/>
          <w:sz w:val="36"/>
          <w:szCs w:val="22"/>
          <w:lang w:eastAsia="en-US"/>
        </w:rPr>
        <w:t>Vermögensverwaltung</w:t>
      </w:r>
    </w:p>
    <w:p w:rsidR="00611002" w:rsidRPr="00A62B8F" w:rsidRDefault="00611002" w:rsidP="00611002">
      <w:pPr>
        <w:jc w:val="both"/>
        <w:rPr>
          <w:rFonts w:ascii="Verdana" w:hAnsi="Verdana"/>
          <w:sz w:val="20"/>
          <w:szCs w:val="20"/>
        </w:rPr>
      </w:pPr>
    </w:p>
    <w:p w:rsidR="00611002" w:rsidRPr="00A62B8F" w:rsidRDefault="00611002" w:rsidP="00A62B8F">
      <w:pPr>
        <w:autoSpaceDE w:val="0"/>
        <w:autoSpaceDN w:val="0"/>
        <w:adjustRightInd w:val="0"/>
        <w:spacing w:after="120" w:line="312" w:lineRule="auto"/>
        <w:jc w:val="both"/>
        <w:rPr>
          <w:rFonts w:ascii="Verdana" w:eastAsiaTheme="minorHAnsi" w:hAnsi="Verdana"/>
          <w:sz w:val="20"/>
          <w:szCs w:val="20"/>
          <w:lang w:eastAsia="en-US"/>
        </w:rPr>
      </w:pPr>
      <w:r w:rsidRPr="00A62B8F">
        <w:rPr>
          <w:rFonts w:ascii="Verdana" w:eastAsiaTheme="minorHAnsi" w:hAnsi="Verdana"/>
          <w:sz w:val="20"/>
          <w:szCs w:val="20"/>
          <w:lang w:eastAsia="en-US"/>
        </w:rPr>
        <w:t xml:space="preserve">Im Zusammenhang mit </w:t>
      </w:r>
      <w:r w:rsidR="00E30DB1">
        <w:rPr>
          <w:rFonts w:ascii="Verdana" w:eastAsiaTheme="minorHAnsi" w:hAnsi="Verdana"/>
          <w:sz w:val="20"/>
          <w:szCs w:val="20"/>
          <w:lang w:eastAsia="en-US"/>
        </w:rPr>
        <w:t>der Vermögensverwaltung im Rahmen einer Beistandschaft oder Vormundschaft</w:t>
      </w:r>
      <w:r w:rsidRPr="00A62B8F">
        <w:rPr>
          <w:rFonts w:ascii="Verdana" w:eastAsiaTheme="minorHAnsi" w:hAnsi="Verdana"/>
          <w:sz w:val="20"/>
          <w:szCs w:val="20"/>
          <w:lang w:eastAsia="en-US"/>
        </w:rPr>
        <w:t xml:space="preserve"> von verbeiständeten</w:t>
      </w:r>
      <w:r w:rsidR="00E30DB1">
        <w:rPr>
          <w:rFonts w:ascii="Verdana" w:eastAsiaTheme="minorHAnsi" w:hAnsi="Verdana"/>
          <w:sz w:val="20"/>
          <w:szCs w:val="20"/>
          <w:lang w:eastAsia="en-US"/>
        </w:rPr>
        <w:t xml:space="preserve"> oder bevormundeten</w:t>
      </w:r>
      <w:r w:rsidRPr="00A62B8F">
        <w:rPr>
          <w:rFonts w:ascii="Verdana" w:eastAsiaTheme="minorHAnsi" w:hAnsi="Verdana"/>
          <w:sz w:val="20"/>
          <w:szCs w:val="20"/>
          <w:lang w:eastAsia="en-US"/>
        </w:rPr>
        <w:t xml:space="preserve"> Personen sind folgende Grundsätze zu beachten:</w:t>
      </w:r>
    </w:p>
    <w:p w:rsidR="00E30DB1" w:rsidRDefault="00E30DB1" w:rsidP="004D7B9B">
      <w:pPr>
        <w:numPr>
          <w:ilvl w:val="0"/>
          <w:numId w:val="1"/>
        </w:numPr>
        <w:spacing w:after="120" w:line="312" w:lineRule="auto"/>
        <w:ind w:left="357" w:hanging="357"/>
        <w:jc w:val="both"/>
        <w:rPr>
          <w:rFonts w:ascii="Verdana" w:hAnsi="Verdana"/>
          <w:sz w:val="20"/>
          <w:szCs w:val="20"/>
        </w:rPr>
      </w:pPr>
      <w:r>
        <w:rPr>
          <w:rFonts w:ascii="Verdana" w:hAnsi="Verdana"/>
          <w:sz w:val="20"/>
          <w:szCs w:val="20"/>
        </w:rPr>
        <w:t xml:space="preserve">Grundlage bildet die Verordnung über die Vermögensverwaltung im Rahmen einer Beistandschaft oder Vormundschaft (VVBV) vom 4. Juli 2012 vom Schweizerischen </w:t>
      </w:r>
      <w:r w:rsidR="004D7B9B">
        <w:rPr>
          <w:rFonts w:ascii="Verdana" w:hAnsi="Verdana"/>
          <w:sz w:val="20"/>
          <w:szCs w:val="20"/>
        </w:rPr>
        <w:t>Bundesrates</w:t>
      </w:r>
      <w:r>
        <w:rPr>
          <w:rFonts w:ascii="Verdana" w:hAnsi="Verdana"/>
          <w:sz w:val="20"/>
          <w:szCs w:val="20"/>
        </w:rPr>
        <w:t>, welche am 1. Januar 2013 in Kraft getreten ist</w:t>
      </w:r>
      <w:r w:rsidR="00F207D4">
        <w:rPr>
          <w:rFonts w:ascii="Verdana" w:hAnsi="Verdana"/>
          <w:sz w:val="20"/>
          <w:szCs w:val="20"/>
        </w:rPr>
        <w:t xml:space="preserve"> und per 01.01.2024 revidiert wurde.</w:t>
      </w:r>
    </w:p>
    <w:p w:rsidR="004D7B9B" w:rsidRDefault="004D7B9B" w:rsidP="004D7B9B">
      <w:pPr>
        <w:numPr>
          <w:ilvl w:val="0"/>
          <w:numId w:val="1"/>
        </w:numPr>
        <w:spacing w:after="120" w:line="312" w:lineRule="auto"/>
        <w:ind w:left="357" w:hanging="357"/>
        <w:jc w:val="both"/>
        <w:rPr>
          <w:rFonts w:ascii="Verdana" w:hAnsi="Verdana"/>
          <w:sz w:val="20"/>
          <w:szCs w:val="20"/>
        </w:rPr>
      </w:pPr>
      <w:r>
        <w:rPr>
          <w:rFonts w:ascii="Verdana" w:hAnsi="Verdana"/>
          <w:sz w:val="20"/>
          <w:szCs w:val="20"/>
        </w:rPr>
        <w:t>Bei der Vermögenssorge geht es immer um die Interessen der betroffenen Person. Vermögenssorge ist kein Selbstzweck.</w:t>
      </w:r>
    </w:p>
    <w:p w:rsidR="004D7B9B" w:rsidRDefault="004B2DE4" w:rsidP="004D7B9B">
      <w:pPr>
        <w:numPr>
          <w:ilvl w:val="0"/>
          <w:numId w:val="1"/>
        </w:numPr>
        <w:spacing w:after="120" w:line="312" w:lineRule="auto"/>
        <w:ind w:left="357" w:hanging="357"/>
        <w:jc w:val="both"/>
        <w:rPr>
          <w:rFonts w:ascii="Verdana" w:hAnsi="Verdana"/>
          <w:sz w:val="20"/>
          <w:szCs w:val="20"/>
        </w:rPr>
      </w:pPr>
      <w:r>
        <w:rPr>
          <w:rFonts w:ascii="Verdana" w:hAnsi="Verdana"/>
          <w:sz w:val="20"/>
          <w:szCs w:val="20"/>
        </w:rPr>
        <w:t>Grundsätzlich sind di</w:t>
      </w:r>
      <w:r w:rsidR="004D7B9B">
        <w:rPr>
          <w:rFonts w:ascii="Verdana" w:hAnsi="Verdana"/>
          <w:sz w:val="20"/>
          <w:szCs w:val="20"/>
        </w:rPr>
        <w:t>e Vermögenswerte von verbeiständeten oder bevormundeten Personen in erster Linie sicher und in zweiter Linie soweit möglich ertragsbringend anzulegen. Anlagerisiken sind durch eine angemessene Diversifikation möglichst gering zu halten.</w:t>
      </w:r>
    </w:p>
    <w:p w:rsidR="004D7B9B" w:rsidRDefault="004D7B9B" w:rsidP="004D7B9B">
      <w:pPr>
        <w:numPr>
          <w:ilvl w:val="0"/>
          <w:numId w:val="1"/>
        </w:numPr>
        <w:spacing w:after="120" w:line="312" w:lineRule="auto"/>
        <w:ind w:left="357" w:hanging="357"/>
        <w:jc w:val="both"/>
        <w:rPr>
          <w:rFonts w:ascii="Verdana" w:hAnsi="Verdana"/>
          <w:sz w:val="20"/>
          <w:szCs w:val="20"/>
        </w:rPr>
      </w:pPr>
      <w:r>
        <w:rPr>
          <w:rFonts w:ascii="Verdana" w:hAnsi="Verdana"/>
          <w:sz w:val="20"/>
          <w:szCs w:val="20"/>
        </w:rPr>
        <w:t>Absolut unzulässig ist Bargeld un</w:t>
      </w:r>
      <w:r w:rsidR="003D0703">
        <w:rPr>
          <w:rFonts w:ascii="Verdana" w:hAnsi="Verdana"/>
          <w:sz w:val="20"/>
          <w:szCs w:val="20"/>
        </w:rPr>
        <w:t>d muss unverzüglich auf ein Konto bei einer Bank oder Postfinance überwiesen werden, soweit es nicht für die Deckung kurzfristiger Bedürfnisse zur Verfügung stehen soll.</w:t>
      </w:r>
    </w:p>
    <w:p w:rsidR="003D0703" w:rsidRDefault="003D0703" w:rsidP="004D7B9B">
      <w:pPr>
        <w:numPr>
          <w:ilvl w:val="0"/>
          <w:numId w:val="1"/>
        </w:numPr>
        <w:spacing w:after="120" w:line="312" w:lineRule="auto"/>
        <w:ind w:left="357" w:hanging="357"/>
        <w:jc w:val="both"/>
        <w:rPr>
          <w:rFonts w:ascii="Verdana" w:hAnsi="Verdana"/>
          <w:sz w:val="20"/>
          <w:szCs w:val="20"/>
        </w:rPr>
      </w:pPr>
      <w:r>
        <w:rPr>
          <w:rFonts w:ascii="Verdana" w:hAnsi="Verdana"/>
          <w:sz w:val="20"/>
          <w:szCs w:val="20"/>
        </w:rPr>
        <w:t xml:space="preserve">Die Verwahrung der </w:t>
      </w:r>
      <w:r w:rsidR="008675EC">
        <w:rPr>
          <w:rFonts w:ascii="Verdana" w:hAnsi="Verdana"/>
          <w:sz w:val="20"/>
          <w:szCs w:val="20"/>
        </w:rPr>
        <w:t>Finanzen und Wertschriften</w:t>
      </w:r>
      <w:r>
        <w:rPr>
          <w:rFonts w:ascii="Verdana" w:hAnsi="Verdana"/>
          <w:sz w:val="20"/>
          <w:szCs w:val="20"/>
        </w:rPr>
        <w:t xml:space="preserve"> gehört zur Aufgabe der Beiständin bzw. des Beistandes. Zu d</w:t>
      </w:r>
      <w:r w:rsidRPr="003D0703">
        <w:rPr>
          <w:rFonts w:ascii="Verdana" w:hAnsi="Verdana"/>
          <w:sz w:val="20"/>
          <w:szCs w:val="20"/>
        </w:rPr>
        <w:t xml:space="preserve">iesem Zweck ist mit der Bank ein </w:t>
      </w:r>
      <w:r>
        <w:rPr>
          <w:rFonts w:ascii="Verdana" w:hAnsi="Verdana"/>
          <w:sz w:val="20"/>
          <w:szCs w:val="20"/>
        </w:rPr>
        <w:t>Hinterlegungsvertrag</w:t>
      </w:r>
      <w:r w:rsidR="00C455AD">
        <w:rPr>
          <w:rFonts w:ascii="Verdana" w:hAnsi="Verdana"/>
          <w:sz w:val="20"/>
          <w:szCs w:val="20"/>
        </w:rPr>
        <w:t xml:space="preserve"> (Mustervertrag siehe Anhang)</w:t>
      </w:r>
      <w:r w:rsidRPr="003D0703">
        <w:rPr>
          <w:rFonts w:ascii="Verdana" w:hAnsi="Verdana"/>
          <w:sz w:val="20"/>
          <w:szCs w:val="20"/>
        </w:rPr>
        <w:t xml:space="preserve"> über die Anlage und Aufbewahrung von Vermögenswerten abzuschliessen und durch die </w:t>
      </w:r>
      <w:r>
        <w:rPr>
          <w:rFonts w:ascii="Verdana" w:hAnsi="Verdana"/>
          <w:sz w:val="20"/>
          <w:szCs w:val="20"/>
        </w:rPr>
        <w:t xml:space="preserve">Kindes- und </w:t>
      </w:r>
      <w:r w:rsidRPr="003D0703">
        <w:rPr>
          <w:rFonts w:ascii="Verdana" w:hAnsi="Verdana"/>
          <w:sz w:val="20"/>
          <w:szCs w:val="20"/>
        </w:rPr>
        <w:t xml:space="preserve">Erwachsenenschutzbehörde </w:t>
      </w:r>
      <w:r w:rsidR="00F61936">
        <w:rPr>
          <w:rFonts w:ascii="Verdana" w:hAnsi="Verdana"/>
          <w:sz w:val="20"/>
          <w:szCs w:val="20"/>
        </w:rPr>
        <w:t xml:space="preserve">(KESB) </w:t>
      </w:r>
      <w:r w:rsidRPr="003D0703">
        <w:rPr>
          <w:rFonts w:ascii="Verdana" w:hAnsi="Verdana"/>
          <w:sz w:val="20"/>
          <w:szCs w:val="20"/>
        </w:rPr>
        <w:t>zu genehmigen</w:t>
      </w:r>
      <w:r>
        <w:rPr>
          <w:rFonts w:ascii="Verdana" w:hAnsi="Verdana"/>
          <w:sz w:val="20"/>
          <w:szCs w:val="20"/>
        </w:rPr>
        <w:t>.</w:t>
      </w:r>
    </w:p>
    <w:p w:rsidR="003D0703" w:rsidRDefault="004B2DE4" w:rsidP="004D7B9B">
      <w:pPr>
        <w:numPr>
          <w:ilvl w:val="0"/>
          <w:numId w:val="1"/>
        </w:numPr>
        <w:spacing w:after="120" w:line="312" w:lineRule="auto"/>
        <w:ind w:left="357" w:hanging="357"/>
        <w:jc w:val="both"/>
        <w:rPr>
          <w:rFonts w:ascii="Verdana" w:hAnsi="Verdana"/>
          <w:sz w:val="20"/>
          <w:szCs w:val="20"/>
        </w:rPr>
      </w:pPr>
      <w:r>
        <w:rPr>
          <w:rFonts w:ascii="Verdana" w:hAnsi="Verdana"/>
          <w:sz w:val="20"/>
          <w:szCs w:val="20"/>
        </w:rPr>
        <w:t xml:space="preserve">Bei der Wahl der Anlagen sind die persönlichen Verhältnisse der betroffenen Person zu berücksichtigen, wie das Alter, die Gesundheit, die Bedürfnisse des Lebensunterhalts, das Einkommen und die Vermögensgrösse sowie der Versicherungsschutz. </w:t>
      </w:r>
    </w:p>
    <w:p w:rsidR="004D7B9B" w:rsidRDefault="00F61936" w:rsidP="004D7B9B">
      <w:pPr>
        <w:numPr>
          <w:ilvl w:val="0"/>
          <w:numId w:val="1"/>
        </w:numPr>
        <w:spacing w:after="120" w:line="312" w:lineRule="auto"/>
        <w:ind w:left="357" w:hanging="357"/>
        <w:jc w:val="both"/>
        <w:rPr>
          <w:rFonts w:ascii="Verdana" w:hAnsi="Verdana"/>
          <w:sz w:val="20"/>
          <w:szCs w:val="20"/>
        </w:rPr>
      </w:pPr>
      <w:r>
        <w:rPr>
          <w:rFonts w:ascii="Verdana" w:hAnsi="Verdana"/>
          <w:sz w:val="20"/>
          <w:szCs w:val="20"/>
        </w:rPr>
        <w:t xml:space="preserve">Für Vermögenswerte, die der Sicherstellung des gewöhnlichen Lebensunterhalts dienen sind ausschliesslich Anlagen nach Art. 6 VBVV </w:t>
      </w:r>
      <w:r w:rsidR="00C455AD">
        <w:rPr>
          <w:rFonts w:ascii="Verdana" w:hAnsi="Verdana"/>
          <w:sz w:val="20"/>
          <w:szCs w:val="20"/>
        </w:rPr>
        <w:t xml:space="preserve">(siehe Auszug </w:t>
      </w:r>
      <w:r w:rsidR="00EF60D4">
        <w:rPr>
          <w:rFonts w:ascii="Verdana" w:hAnsi="Verdana"/>
          <w:sz w:val="20"/>
          <w:szCs w:val="20"/>
        </w:rPr>
        <w:t>auf Seite 2</w:t>
      </w:r>
      <w:r w:rsidR="00C455AD">
        <w:rPr>
          <w:rFonts w:ascii="Verdana" w:hAnsi="Verdana"/>
          <w:sz w:val="20"/>
          <w:szCs w:val="20"/>
        </w:rPr>
        <w:t xml:space="preserve"> des Merkblattes) </w:t>
      </w:r>
      <w:r>
        <w:rPr>
          <w:rFonts w:ascii="Verdana" w:hAnsi="Verdana"/>
          <w:sz w:val="20"/>
          <w:szCs w:val="20"/>
        </w:rPr>
        <w:t>zulässig.</w:t>
      </w:r>
    </w:p>
    <w:p w:rsidR="00F61936" w:rsidRDefault="00F61936" w:rsidP="004D7B9B">
      <w:pPr>
        <w:numPr>
          <w:ilvl w:val="0"/>
          <w:numId w:val="1"/>
        </w:numPr>
        <w:spacing w:after="120" w:line="312" w:lineRule="auto"/>
        <w:ind w:left="357" w:hanging="357"/>
        <w:jc w:val="both"/>
        <w:rPr>
          <w:rFonts w:ascii="Verdana" w:hAnsi="Verdana"/>
          <w:sz w:val="20"/>
          <w:szCs w:val="20"/>
        </w:rPr>
      </w:pPr>
      <w:r>
        <w:rPr>
          <w:rFonts w:ascii="Verdana" w:hAnsi="Verdana"/>
          <w:sz w:val="20"/>
          <w:szCs w:val="20"/>
        </w:rPr>
        <w:t xml:space="preserve">Sofern es die persönlichen Verhältnisse der betroffenen Person es erlauben, sind zusätzlich Anlagen für weitergehende Bedürfnisse, die über den gewöhnlichen Lebensunterhalt hinausgehen, nach Art. 7 VBVV </w:t>
      </w:r>
      <w:r w:rsidR="00C455AD">
        <w:rPr>
          <w:rFonts w:ascii="Verdana" w:hAnsi="Verdana"/>
          <w:sz w:val="20"/>
          <w:szCs w:val="20"/>
        </w:rPr>
        <w:t xml:space="preserve">(siehe Auszug) </w:t>
      </w:r>
      <w:r>
        <w:rPr>
          <w:rFonts w:ascii="Verdana" w:hAnsi="Verdana"/>
          <w:sz w:val="20"/>
          <w:szCs w:val="20"/>
        </w:rPr>
        <w:t>zulässig. Diese Anlagen bedürfen der Bewilligung der KESB. Sind die finanziellen Verhältnisse besonders günstig, so kann die KESB auch weitergehende Anlagen bewilligen.</w:t>
      </w:r>
    </w:p>
    <w:p w:rsidR="00F61936" w:rsidRDefault="00AA717E" w:rsidP="004D7B9B">
      <w:pPr>
        <w:numPr>
          <w:ilvl w:val="0"/>
          <w:numId w:val="1"/>
        </w:numPr>
        <w:spacing w:after="120" w:line="312" w:lineRule="auto"/>
        <w:ind w:left="357" w:hanging="357"/>
        <w:jc w:val="both"/>
        <w:rPr>
          <w:rFonts w:ascii="Verdana" w:hAnsi="Verdana"/>
          <w:sz w:val="20"/>
          <w:szCs w:val="20"/>
        </w:rPr>
      </w:pPr>
      <w:r>
        <w:rPr>
          <w:rFonts w:ascii="Verdana" w:hAnsi="Verdana"/>
          <w:sz w:val="20"/>
          <w:szCs w:val="20"/>
        </w:rPr>
        <w:t>Vermögensanlagen, die im Wiederspruch zu Art. 6 und 7</w:t>
      </w:r>
      <w:r w:rsidR="00EF60D4">
        <w:rPr>
          <w:rFonts w:ascii="Verdana" w:hAnsi="Verdana"/>
          <w:sz w:val="20"/>
          <w:szCs w:val="20"/>
        </w:rPr>
        <w:t xml:space="preserve"> VVBV</w:t>
      </w:r>
      <w:r>
        <w:rPr>
          <w:rFonts w:ascii="Verdana" w:hAnsi="Verdana"/>
          <w:sz w:val="20"/>
          <w:szCs w:val="20"/>
        </w:rPr>
        <w:t xml:space="preserve"> stehen, müssen innert angemessener Frist in zulässige Anlagen umgewandelt werden. </w:t>
      </w:r>
    </w:p>
    <w:p w:rsidR="00AA717E" w:rsidRDefault="00AA717E" w:rsidP="00A8777A">
      <w:pPr>
        <w:spacing w:after="240" w:line="312" w:lineRule="auto"/>
        <w:jc w:val="both"/>
        <w:rPr>
          <w:rFonts w:ascii="Verdana" w:hAnsi="Verdana"/>
          <w:sz w:val="20"/>
          <w:szCs w:val="20"/>
        </w:rPr>
      </w:pPr>
      <w:r>
        <w:rPr>
          <w:rFonts w:ascii="Verdana" w:hAnsi="Verdana"/>
          <w:sz w:val="20"/>
          <w:szCs w:val="20"/>
        </w:rPr>
        <w:lastRenderedPageBreak/>
        <w:t xml:space="preserve">Auszug aus der Verordnung über die Vermögensverwaltung in Rahmen einer Beistandschaft oder Vormundschaft (VBVV) betreffend </w:t>
      </w:r>
      <w:r w:rsidR="00F97314">
        <w:rPr>
          <w:rFonts w:ascii="Verdana" w:hAnsi="Verdana"/>
          <w:sz w:val="20"/>
          <w:szCs w:val="20"/>
        </w:rPr>
        <w:t>zulässige</w:t>
      </w:r>
      <w:r>
        <w:rPr>
          <w:rFonts w:ascii="Verdana" w:hAnsi="Verdana"/>
          <w:sz w:val="20"/>
          <w:szCs w:val="20"/>
        </w:rPr>
        <w:t xml:space="preserve"> Anlagen nach Vermögenskategrien:</w:t>
      </w:r>
    </w:p>
    <w:p w:rsidR="00F97314" w:rsidRPr="00F97314" w:rsidRDefault="00F97314" w:rsidP="00F97314">
      <w:pPr>
        <w:spacing w:after="120" w:line="312" w:lineRule="auto"/>
        <w:jc w:val="both"/>
        <w:rPr>
          <w:rFonts w:ascii="Verdana" w:hAnsi="Verdana"/>
          <w:sz w:val="20"/>
          <w:szCs w:val="20"/>
        </w:rPr>
      </w:pPr>
      <w:r w:rsidRPr="00F97314">
        <w:rPr>
          <w:rFonts w:ascii="Verdana" w:hAnsi="Verdana"/>
          <w:b/>
          <w:bCs/>
          <w:sz w:val="20"/>
          <w:szCs w:val="20"/>
        </w:rPr>
        <w:t xml:space="preserve">Art. 6 </w:t>
      </w:r>
      <w:r w:rsidR="00C455AD">
        <w:rPr>
          <w:rFonts w:ascii="Verdana" w:hAnsi="Verdana"/>
          <w:b/>
          <w:bCs/>
          <w:sz w:val="20"/>
          <w:szCs w:val="20"/>
        </w:rPr>
        <w:t xml:space="preserve">    </w:t>
      </w:r>
      <w:r w:rsidRPr="00F97314">
        <w:rPr>
          <w:rFonts w:ascii="Verdana" w:hAnsi="Verdana"/>
          <w:sz w:val="20"/>
          <w:szCs w:val="20"/>
        </w:rPr>
        <w:t>Sicherstellung des gewöhnlichen Lebensunterhalts</w:t>
      </w:r>
    </w:p>
    <w:p w:rsidR="00F97314" w:rsidRDefault="00F97314" w:rsidP="00C455AD">
      <w:pPr>
        <w:spacing w:after="120" w:line="312" w:lineRule="auto"/>
        <w:jc w:val="both"/>
        <w:rPr>
          <w:rFonts w:ascii="Verdana" w:hAnsi="Verdana"/>
          <w:sz w:val="20"/>
          <w:szCs w:val="20"/>
        </w:rPr>
      </w:pPr>
      <w:r w:rsidRPr="00F97314">
        <w:rPr>
          <w:rFonts w:ascii="Verdana" w:hAnsi="Verdana"/>
          <w:sz w:val="20"/>
          <w:szCs w:val="20"/>
        </w:rPr>
        <w:t>1 Für Vermögenswerte, die der Sicherstellung des gewöhnlichen Lebensunterhalts</w:t>
      </w:r>
      <w:r w:rsidR="00C455AD">
        <w:rPr>
          <w:rFonts w:ascii="Verdana" w:hAnsi="Verdana"/>
          <w:sz w:val="20"/>
          <w:szCs w:val="20"/>
        </w:rPr>
        <w:t xml:space="preserve"> </w:t>
      </w:r>
      <w:r w:rsidRPr="00F97314">
        <w:rPr>
          <w:rFonts w:ascii="Verdana" w:hAnsi="Verdana"/>
          <w:sz w:val="20"/>
          <w:szCs w:val="20"/>
        </w:rPr>
        <w:t>der betroffenen Person dienen, sind ausschliesslich folgende Anlagen zulässig:</w:t>
      </w:r>
    </w:p>
    <w:p w:rsidR="00F97314" w:rsidRDefault="00F97314" w:rsidP="00F97314">
      <w:pPr>
        <w:pStyle w:val="Listenabsatz"/>
        <w:numPr>
          <w:ilvl w:val="0"/>
          <w:numId w:val="2"/>
        </w:numPr>
        <w:spacing w:line="312" w:lineRule="auto"/>
        <w:jc w:val="both"/>
        <w:rPr>
          <w:rFonts w:ascii="Verdana" w:hAnsi="Verdana"/>
          <w:sz w:val="20"/>
          <w:szCs w:val="20"/>
        </w:rPr>
      </w:pPr>
      <w:r w:rsidRPr="00F97314">
        <w:rPr>
          <w:rFonts w:ascii="Verdana" w:hAnsi="Verdana"/>
          <w:sz w:val="20"/>
          <w:szCs w:val="20"/>
        </w:rPr>
        <w:t>auf den Namen lautende Einlagen, einschliesslich Obligationen und Festgelder,</w:t>
      </w:r>
      <w:r>
        <w:rPr>
          <w:rFonts w:ascii="Verdana" w:hAnsi="Verdana"/>
          <w:sz w:val="20"/>
          <w:szCs w:val="20"/>
        </w:rPr>
        <w:t xml:space="preserve"> </w:t>
      </w:r>
      <w:r w:rsidRPr="00F97314">
        <w:rPr>
          <w:rFonts w:ascii="Verdana" w:hAnsi="Verdana"/>
          <w:sz w:val="20"/>
          <w:szCs w:val="20"/>
        </w:rPr>
        <w:t>bei Kantonalbanken mit unbeschränkter Staatsgarantie;</w:t>
      </w:r>
    </w:p>
    <w:p w:rsidR="00F97314" w:rsidRDefault="00F97314" w:rsidP="00F97314">
      <w:pPr>
        <w:pStyle w:val="Listenabsatz"/>
        <w:numPr>
          <w:ilvl w:val="0"/>
          <w:numId w:val="2"/>
        </w:numPr>
        <w:spacing w:line="312" w:lineRule="auto"/>
        <w:jc w:val="both"/>
        <w:rPr>
          <w:rFonts w:ascii="Verdana" w:hAnsi="Verdana"/>
          <w:sz w:val="20"/>
          <w:szCs w:val="20"/>
        </w:rPr>
      </w:pPr>
      <w:r w:rsidRPr="00F97314">
        <w:rPr>
          <w:rFonts w:ascii="Verdana" w:hAnsi="Verdana"/>
          <w:sz w:val="20"/>
          <w:szCs w:val="20"/>
        </w:rPr>
        <w:t>auf den Namen lautende Einlagen, einschliesslich Obligationen und Festgelder,</w:t>
      </w:r>
      <w:r>
        <w:rPr>
          <w:rFonts w:ascii="Verdana" w:hAnsi="Verdana"/>
          <w:sz w:val="20"/>
          <w:szCs w:val="20"/>
        </w:rPr>
        <w:t xml:space="preserve"> </w:t>
      </w:r>
      <w:r w:rsidRPr="00F97314">
        <w:rPr>
          <w:rFonts w:ascii="Verdana" w:hAnsi="Verdana"/>
          <w:sz w:val="20"/>
          <w:szCs w:val="20"/>
        </w:rPr>
        <w:t>bei anderen Banken oder bei der Postfinance bis zum Höchstbetrag nach</w:t>
      </w:r>
      <w:r>
        <w:rPr>
          <w:rFonts w:ascii="Verdana" w:hAnsi="Verdana"/>
          <w:sz w:val="20"/>
          <w:szCs w:val="20"/>
        </w:rPr>
        <w:t xml:space="preserve"> </w:t>
      </w:r>
      <w:r w:rsidRPr="00F97314">
        <w:rPr>
          <w:rFonts w:ascii="Verdana" w:hAnsi="Verdana"/>
          <w:sz w:val="20"/>
          <w:szCs w:val="20"/>
        </w:rPr>
        <w:t>Artikel 37</w:t>
      </w:r>
      <w:r w:rsidRPr="00F97314">
        <w:rPr>
          <w:rFonts w:ascii="Verdana" w:hAnsi="Verdana"/>
          <w:i/>
          <w:iCs/>
          <w:sz w:val="20"/>
          <w:szCs w:val="20"/>
        </w:rPr>
        <w:t xml:space="preserve">a </w:t>
      </w:r>
      <w:r w:rsidRPr="00F97314">
        <w:rPr>
          <w:rFonts w:ascii="Verdana" w:hAnsi="Verdana"/>
          <w:sz w:val="20"/>
          <w:szCs w:val="20"/>
        </w:rPr>
        <w:t>des Bankengesetzes vom 8. November 19343 pro Institut;</w:t>
      </w:r>
    </w:p>
    <w:p w:rsidR="00F97314" w:rsidRDefault="00F97314" w:rsidP="00F97314">
      <w:pPr>
        <w:pStyle w:val="Listenabsatz"/>
        <w:numPr>
          <w:ilvl w:val="0"/>
          <w:numId w:val="2"/>
        </w:numPr>
        <w:spacing w:line="312" w:lineRule="auto"/>
        <w:jc w:val="both"/>
        <w:rPr>
          <w:rFonts w:ascii="Verdana" w:hAnsi="Verdana"/>
          <w:sz w:val="20"/>
          <w:szCs w:val="20"/>
        </w:rPr>
      </w:pPr>
      <w:r w:rsidRPr="00F97314">
        <w:rPr>
          <w:rFonts w:ascii="Verdana" w:hAnsi="Verdana"/>
          <w:sz w:val="20"/>
          <w:szCs w:val="20"/>
        </w:rPr>
        <w:t>festverzinsliche Obligationen der Schweizerischen Eidgenossenschaft und</w:t>
      </w:r>
      <w:r>
        <w:rPr>
          <w:rFonts w:ascii="Verdana" w:hAnsi="Verdana"/>
          <w:sz w:val="20"/>
          <w:szCs w:val="20"/>
        </w:rPr>
        <w:t xml:space="preserve"> </w:t>
      </w:r>
      <w:r w:rsidRPr="00F97314">
        <w:rPr>
          <w:rFonts w:ascii="Verdana" w:hAnsi="Verdana"/>
          <w:sz w:val="20"/>
          <w:szCs w:val="20"/>
        </w:rPr>
        <w:t>Pfandbriefe der schweizerischen Pfandbriefzentralen;</w:t>
      </w:r>
    </w:p>
    <w:p w:rsidR="00F97314" w:rsidRDefault="00F97314" w:rsidP="00F97314">
      <w:pPr>
        <w:pStyle w:val="Listenabsatz"/>
        <w:numPr>
          <w:ilvl w:val="0"/>
          <w:numId w:val="2"/>
        </w:numPr>
        <w:spacing w:line="312" w:lineRule="auto"/>
        <w:jc w:val="both"/>
        <w:rPr>
          <w:rFonts w:ascii="Verdana" w:hAnsi="Verdana"/>
          <w:sz w:val="20"/>
          <w:szCs w:val="20"/>
        </w:rPr>
      </w:pPr>
      <w:r w:rsidRPr="00F97314">
        <w:rPr>
          <w:rFonts w:ascii="Verdana" w:hAnsi="Verdana"/>
          <w:sz w:val="20"/>
          <w:szCs w:val="20"/>
        </w:rPr>
        <w:t>selbstgenutzte und andere wertbeständige Grundstücke;</w:t>
      </w:r>
    </w:p>
    <w:p w:rsidR="00F97314" w:rsidRDefault="00F97314" w:rsidP="00F97314">
      <w:pPr>
        <w:pStyle w:val="Listenabsatz"/>
        <w:numPr>
          <w:ilvl w:val="0"/>
          <w:numId w:val="2"/>
        </w:numPr>
        <w:spacing w:line="312" w:lineRule="auto"/>
        <w:jc w:val="both"/>
        <w:rPr>
          <w:rFonts w:ascii="Verdana" w:hAnsi="Verdana"/>
          <w:sz w:val="20"/>
          <w:szCs w:val="20"/>
        </w:rPr>
      </w:pPr>
      <w:r w:rsidRPr="00F97314">
        <w:rPr>
          <w:rFonts w:ascii="Verdana" w:hAnsi="Verdana"/>
          <w:sz w:val="20"/>
          <w:szCs w:val="20"/>
        </w:rPr>
        <w:t>pfandgesicherte Forderungen mit wertbeständigem Pfand;</w:t>
      </w:r>
    </w:p>
    <w:p w:rsidR="00F97314" w:rsidRDefault="00F97314" w:rsidP="00F97314">
      <w:pPr>
        <w:pStyle w:val="Listenabsatz"/>
        <w:numPr>
          <w:ilvl w:val="0"/>
          <w:numId w:val="2"/>
        </w:numPr>
        <w:spacing w:after="120" w:line="312" w:lineRule="auto"/>
        <w:ind w:left="714" w:hanging="357"/>
        <w:contextualSpacing w:val="0"/>
        <w:jc w:val="both"/>
        <w:rPr>
          <w:rFonts w:ascii="Verdana" w:hAnsi="Verdana"/>
          <w:sz w:val="20"/>
          <w:szCs w:val="20"/>
        </w:rPr>
      </w:pPr>
      <w:r w:rsidRPr="00F97314">
        <w:rPr>
          <w:rFonts w:ascii="Verdana" w:hAnsi="Verdana"/>
          <w:sz w:val="20"/>
          <w:szCs w:val="20"/>
        </w:rPr>
        <w:t>Einlagen in Einrichtungen der beruflichen Vorsorge.</w:t>
      </w:r>
    </w:p>
    <w:p w:rsidR="00F97314" w:rsidRDefault="00F97314" w:rsidP="00F97314">
      <w:pPr>
        <w:spacing w:line="312" w:lineRule="auto"/>
        <w:jc w:val="both"/>
        <w:rPr>
          <w:rFonts w:ascii="Verdana" w:hAnsi="Verdana"/>
          <w:sz w:val="20"/>
          <w:szCs w:val="20"/>
        </w:rPr>
      </w:pPr>
      <w:r w:rsidRPr="00F97314">
        <w:rPr>
          <w:rFonts w:ascii="Verdana" w:hAnsi="Verdana"/>
          <w:sz w:val="20"/>
          <w:szCs w:val="20"/>
        </w:rPr>
        <w:t>2 Anlagen nach Absatz 1 Buchstaben d und e bedürfen der Bewilligung der Kindes-</w:t>
      </w:r>
      <w:r>
        <w:rPr>
          <w:rFonts w:ascii="Verdana" w:hAnsi="Verdana"/>
          <w:sz w:val="20"/>
          <w:szCs w:val="20"/>
        </w:rPr>
        <w:t xml:space="preserve"> </w:t>
      </w:r>
      <w:r w:rsidRPr="00F97314">
        <w:rPr>
          <w:rFonts w:ascii="Verdana" w:hAnsi="Verdana"/>
          <w:sz w:val="20"/>
          <w:szCs w:val="20"/>
        </w:rPr>
        <w:t>und Erwachsenenschutzbehörde</w:t>
      </w:r>
      <w:r>
        <w:rPr>
          <w:rFonts w:ascii="Verdana" w:hAnsi="Verdana"/>
          <w:sz w:val="20"/>
          <w:szCs w:val="20"/>
        </w:rPr>
        <w:t>.</w:t>
      </w:r>
    </w:p>
    <w:p w:rsidR="00F97314" w:rsidRDefault="00F97314" w:rsidP="00F97314">
      <w:pPr>
        <w:spacing w:line="312" w:lineRule="auto"/>
        <w:jc w:val="both"/>
        <w:rPr>
          <w:rFonts w:ascii="Verdana" w:hAnsi="Verdana"/>
          <w:sz w:val="20"/>
          <w:szCs w:val="20"/>
        </w:rPr>
      </w:pPr>
    </w:p>
    <w:p w:rsidR="00F97314" w:rsidRPr="00F97314" w:rsidRDefault="00F97314" w:rsidP="00C455AD">
      <w:pPr>
        <w:spacing w:after="120" w:line="312" w:lineRule="auto"/>
        <w:jc w:val="both"/>
        <w:rPr>
          <w:rFonts w:ascii="Verdana" w:hAnsi="Verdana"/>
          <w:sz w:val="20"/>
          <w:szCs w:val="20"/>
        </w:rPr>
      </w:pPr>
      <w:r w:rsidRPr="00F97314">
        <w:rPr>
          <w:rFonts w:ascii="Verdana" w:hAnsi="Verdana"/>
          <w:b/>
          <w:bCs/>
          <w:sz w:val="20"/>
          <w:szCs w:val="20"/>
        </w:rPr>
        <w:t>Art.</w:t>
      </w:r>
      <w:r w:rsidR="00C455AD">
        <w:rPr>
          <w:rFonts w:ascii="Verdana" w:hAnsi="Verdana"/>
          <w:b/>
          <w:bCs/>
          <w:sz w:val="20"/>
          <w:szCs w:val="20"/>
        </w:rPr>
        <w:t xml:space="preserve"> </w:t>
      </w:r>
      <w:r w:rsidRPr="00F97314">
        <w:rPr>
          <w:rFonts w:ascii="Verdana" w:hAnsi="Verdana"/>
          <w:b/>
          <w:bCs/>
          <w:sz w:val="20"/>
          <w:szCs w:val="20"/>
        </w:rPr>
        <w:t xml:space="preserve">7 </w:t>
      </w:r>
      <w:r w:rsidR="00C455AD">
        <w:rPr>
          <w:rFonts w:ascii="Verdana" w:hAnsi="Verdana"/>
          <w:b/>
          <w:bCs/>
          <w:sz w:val="20"/>
          <w:szCs w:val="20"/>
        </w:rPr>
        <w:t xml:space="preserve">    </w:t>
      </w:r>
      <w:r w:rsidRPr="00F97314">
        <w:rPr>
          <w:rFonts w:ascii="Verdana" w:hAnsi="Verdana"/>
          <w:sz w:val="20"/>
          <w:szCs w:val="20"/>
        </w:rPr>
        <w:t>Anlagen für weitergehende Bedürfnisse</w:t>
      </w:r>
    </w:p>
    <w:p w:rsidR="00F97314" w:rsidRDefault="00F97314" w:rsidP="00C455AD">
      <w:pPr>
        <w:spacing w:after="120" w:line="312" w:lineRule="auto"/>
        <w:jc w:val="both"/>
        <w:rPr>
          <w:rFonts w:ascii="Verdana" w:hAnsi="Verdana"/>
          <w:sz w:val="20"/>
          <w:szCs w:val="20"/>
        </w:rPr>
      </w:pPr>
      <w:r w:rsidRPr="00F97314">
        <w:rPr>
          <w:rFonts w:ascii="Verdana" w:hAnsi="Verdana"/>
          <w:sz w:val="20"/>
          <w:szCs w:val="20"/>
        </w:rPr>
        <w:t>1 Sofern es die persönlichen Verhältnisse der betroffenen Person erlauben, sind für</w:t>
      </w:r>
      <w:r w:rsidR="00C455AD">
        <w:rPr>
          <w:rFonts w:ascii="Verdana" w:hAnsi="Verdana"/>
          <w:sz w:val="20"/>
          <w:szCs w:val="20"/>
        </w:rPr>
        <w:t xml:space="preserve"> </w:t>
      </w:r>
      <w:r w:rsidRPr="00F97314">
        <w:rPr>
          <w:rFonts w:ascii="Verdana" w:hAnsi="Verdana"/>
          <w:sz w:val="20"/>
          <w:szCs w:val="20"/>
        </w:rPr>
        <w:t>Bedürfnisse, die über den gewöhnlichen Lebensunterhalt hinausgehen, zusätzlich zu</w:t>
      </w:r>
      <w:r w:rsidR="00C455AD">
        <w:rPr>
          <w:rFonts w:ascii="Verdana" w:hAnsi="Verdana"/>
          <w:sz w:val="20"/>
          <w:szCs w:val="20"/>
        </w:rPr>
        <w:t xml:space="preserve"> </w:t>
      </w:r>
      <w:r w:rsidRPr="00F97314">
        <w:rPr>
          <w:rFonts w:ascii="Verdana" w:hAnsi="Verdana"/>
          <w:sz w:val="20"/>
          <w:szCs w:val="20"/>
        </w:rPr>
        <w:t>den Anlagen nach Artikel 6 insbesondere folgende Anlagen zulässig:</w:t>
      </w:r>
    </w:p>
    <w:p w:rsidR="00C455AD" w:rsidRDefault="00C455AD" w:rsidP="00C455AD">
      <w:pPr>
        <w:pStyle w:val="Listenabsatz"/>
        <w:numPr>
          <w:ilvl w:val="0"/>
          <w:numId w:val="5"/>
        </w:numPr>
        <w:spacing w:after="120" w:line="312" w:lineRule="auto"/>
        <w:jc w:val="both"/>
        <w:rPr>
          <w:rFonts w:ascii="Verdana" w:hAnsi="Verdana"/>
          <w:sz w:val="20"/>
          <w:szCs w:val="20"/>
        </w:rPr>
      </w:pPr>
      <w:r w:rsidRPr="00C455AD">
        <w:rPr>
          <w:rFonts w:ascii="Verdana" w:hAnsi="Verdana"/>
          <w:sz w:val="20"/>
          <w:szCs w:val="20"/>
        </w:rPr>
        <w:t>Obligationen in Schweizer Franken von Gesellschaften mit guter Bonität;</w:t>
      </w:r>
    </w:p>
    <w:p w:rsidR="00C455AD" w:rsidRDefault="00C455AD" w:rsidP="00C455AD">
      <w:pPr>
        <w:pStyle w:val="Listenabsatz"/>
        <w:numPr>
          <w:ilvl w:val="0"/>
          <w:numId w:val="5"/>
        </w:numPr>
        <w:spacing w:after="120" w:line="312" w:lineRule="auto"/>
        <w:jc w:val="both"/>
        <w:rPr>
          <w:rFonts w:ascii="Verdana" w:hAnsi="Verdana"/>
          <w:sz w:val="20"/>
          <w:szCs w:val="20"/>
        </w:rPr>
      </w:pPr>
      <w:r w:rsidRPr="00C455AD">
        <w:rPr>
          <w:rFonts w:ascii="Verdana" w:hAnsi="Verdana"/>
          <w:sz w:val="20"/>
          <w:szCs w:val="20"/>
        </w:rPr>
        <w:t>Aktien in Schweizer Franken von Gesellschaften mit guter Bonität, wobei ihr Anteil am Gesamtvermögen höchstens 25 Prozent ausmachen darf;</w:t>
      </w:r>
    </w:p>
    <w:p w:rsidR="00C455AD" w:rsidRDefault="00C455AD" w:rsidP="00C455AD">
      <w:pPr>
        <w:pStyle w:val="Listenabsatz"/>
        <w:numPr>
          <w:ilvl w:val="0"/>
          <w:numId w:val="5"/>
        </w:numPr>
        <w:spacing w:after="120" w:line="312" w:lineRule="auto"/>
        <w:jc w:val="both"/>
        <w:rPr>
          <w:rFonts w:ascii="Verdana" w:hAnsi="Verdana"/>
          <w:sz w:val="20"/>
          <w:szCs w:val="20"/>
        </w:rPr>
      </w:pPr>
      <w:r w:rsidRPr="00C455AD">
        <w:rPr>
          <w:rFonts w:ascii="Verdana" w:hAnsi="Verdana"/>
          <w:sz w:val="20"/>
          <w:szCs w:val="20"/>
        </w:rPr>
        <w:t>Obligationenfonds in Schweizer Franken mit Einlagen von Gesellschaften mit guter Bonität, ausgegeben von Fondsgesellschaften unter der Leitung von schweizerischen Banken;</w:t>
      </w:r>
    </w:p>
    <w:p w:rsidR="00C455AD" w:rsidRDefault="00C455AD" w:rsidP="00C455AD">
      <w:pPr>
        <w:pStyle w:val="Listenabsatz"/>
        <w:numPr>
          <w:ilvl w:val="0"/>
          <w:numId w:val="5"/>
        </w:numPr>
        <w:spacing w:after="120" w:line="312" w:lineRule="auto"/>
        <w:jc w:val="both"/>
        <w:rPr>
          <w:rFonts w:ascii="Verdana" w:hAnsi="Verdana"/>
          <w:sz w:val="20"/>
          <w:szCs w:val="20"/>
        </w:rPr>
      </w:pPr>
      <w:r w:rsidRPr="00C455AD">
        <w:rPr>
          <w:rFonts w:ascii="Verdana" w:hAnsi="Verdana"/>
          <w:sz w:val="20"/>
          <w:szCs w:val="20"/>
        </w:rPr>
        <w:t>gemischte Anlagefonds in Schweizer Franken mit einem Anteil von höchstens 25 Prozent Aktien und höchstens 50 Prozent Titeln ausländischer Unternehmen, ausgegeben von Fondsgesellschaften unter der Leitung von schweizerischen Banken;</w:t>
      </w:r>
    </w:p>
    <w:p w:rsidR="00C455AD" w:rsidRDefault="00C455AD" w:rsidP="00C455AD">
      <w:pPr>
        <w:pStyle w:val="Listenabsatz"/>
        <w:numPr>
          <w:ilvl w:val="0"/>
          <w:numId w:val="5"/>
        </w:numPr>
        <w:spacing w:after="120" w:line="312" w:lineRule="auto"/>
        <w:jc w:val="both"/>
        <w:rPr>
          <w:rFonts w:ascii="Verdana" w:hAnsi="Verdana"/>
          <w:sz w:val="20"/>
          <w:szCs w:val="20"/>
        </w:rPr>
      </w:pPr>
      <w:r w:rsidRPr="00C455AD">
        <w:rPr>
          <w:rFonts w:ascii="Verdana" w:hAnsi="Verdana"/>
          <w:sz w:val="20"/>
          <w:szCs w:val="20"/>
        </w:rPr>
        <w:t>Einlagen in Einrichtungen der Säule 3a bei Banken, bei der Postfinance oder bei Versicherungseinrichtungen, die dem Versicherungsaufsichtsgesetz vom 17. Dezember 2004</w:t>
      </w:r>
      <w:r w:rsidR="004177DD">
        <w:rPr>
          <w:rFonts w:ascii="Verdana" w:hAnsi="Verdana"/>
          <w:sz w:val="20"/>
          <w:szCs w:val="20"/>
        </w:rPr>
        <w:t xml:space="preserve">  </w:t>
      </w:r>
      <w:r w:rsidRPr="00C455AD">
        <w:rPr>
          <w:rFonts w:ascii="Verdana" w:hAnsi="Verdana"/>
          <w:sz w:val="20"/>
          <w:szCs w:val="20"/>
        </w:rPr>
        <w:t xml:space="preserve"> unterstehen;</w:t>
      </w:r>
    </w:p>
    <w:p w:rsidR="00C455AD" w:rsidRDefault="00C455AD" w:rsidP="00C455AD">
      <w:pPr>
        <w:pStyle w:val="Listenabsatz"/>
        <w:numPr>
          <w:ilvl w:val="0"/>
          <w:numId w:val="5"/>
        </w:numPr>
        <w:spacing w:after="120" w:line="312" w:lineRule="auto"/>
        <w:jc w:val="both"/>
        <w:rPr>
          <w:rFonts w:ascii="Verdana" w:hAnsi="Verdana"/>
          <w:sz w:val="20"/>
          <w:szCs w:val="20"/>
        </w:rPr>
      </w:pPr>
      <w:r w:rsidRPr="00C455AD">
        <w:rPr>
          <w:rFonts w:ascii="Verdana" w:hAnsi="Verdana"/>
          <w:sz w:val="20"/>
          <w:szCs w:val="20"/>
        </w:rPr>
        <w:t>Grundstücke.</w:t>
      </w:r>
    </w:p>
    <w:p w:rsidR="00C455AD" w:rsidRDefault="00C455AD" w:rsidP="00C455AD">
      <w:pPr>
        <w:spacing w:after="120" w:line="312" w:lineRule="auto"/>
        <w:jc w:val="both"/>
        <w:rPr>
          <w:rFonts w:ascii="Verdana" w:hAnsi="Verdana"/>
          <w:sz w:val="20"/>
          <w:szCs w:val="20"/>
        </w:rPr>
      </w:pPr>
      <w:r>
        <w:rPr>
          <w:rFonts w:ascii="Verdana" w:hAnsi="Verdana"/>
          <w:sz w:val="20"/>
          <w:szCs w:val="20"/>
        </w:rPr>
        <w:t xml:space="preserve">2 </w:t>
      </w:r>
      <w:r w:rsidRPr="00C455AD">
        <w:rPr>
          <w:rFonts w:ascii="Verdana" w:hAnsi="Verdana"/>
          <w:sz w:val="20"/>
          <w:szCs w:val="20"/>
        </w:rPr>
        <w:t>Diese Anlagen bedürfen der Bewilligung der Kindes- und Erwachsenenschutzbehörde.</w:t>
      </w:r>
    </w:p>
    <w:p w:rsidR="00C455AD" w:rsidRDefault="00C455AD" w:rsidP="00C455AD">
      <w:pPr>
        <w:spacing w:after="120" w:line="312" w:lineRule="auto"/>
        <w:jc w:val="both"/>
        <w:rPr>
          <w:rFonts w:ascii="Verdana" w:hAnsi="Verdana"/>
          <w:sz w:val="20"/>
          <w:szCs w:val="20"/>
        </w:rPr>
      </w:pPr>
      <w:r>
        <w:rPr>
          <w:rFonts w:ascii="Verdana" w:hAnsi="Verdana"/>
          <w:sz w:val="20"/>
          <w:szCs w:val="20"/>
        </w:rPr>
        <w:t xml:space="preserve">3 </w:t>
      </w:r>
      <w:r w:rsidRPr="00C455AD">
        <w:rPr>
          <w:rFonts w:ascii="Verdana" w:hAnsi="Verdana"/>
          <w:sz w:val="20"/>
          <w:szCs w:val="20"/>
        </w:rPr>
        <w:t>Sind die finanziellen Verhältnisse der betroffenen Person besonders günstig, so kann die Kindes- und Erwachsenenschutzbehörde auch eine weitergehende Anlage bewilligen.</w:t>
      </w:r>
    </w:p>
    <w:p w:rsidR="00C455AD" w:rsidRDefault="00C455AD" w:rsidP="00C455AD">
      <w:pPr>
        <w:spacing w:after="120" w:line="312" w:lineRule="auto"/>
        <w:jc w:val="both"/>
        <w:rPr>
          <w:rFonts w:ascii="Verdana" w:hAnsi="Verdana"/>
          <w:sz w:val="20"/>
          <w:szCs w:val="20"/>
        </w:rPr>
      </w:pPr>
    </w:p>
    <w:p w:rsidR="00C455AD" w:rsidRDefault="00C455AD" w:rsidP="00C455AD">
      <w:pPr>
        <w:spacing w:after="120" w:line="312" w:lineRule="auto"/>
        <w:jc w:val="both"/>
        <w:rPr>
          <w:rFonts w:ascii="Verdana" w:hAnsi="Verdana"/>
          <w:sz w:val="20"/>
          <w:szCs w:val="20"/>
        </w:rPr>
      </w:pPr>
    </w:p>
    <w:p w:rsidR="00C455AD" w:rsidRDefault="00C455AD" w:rsidP="00C455AD">
      <w:pPr>
        <w:spacing w:after="120" w:line="312" w:lineRule="auto"/>
        <w:jc w:val="both"/>
        <w:rPr>
          <w:rFonts w:ascii="Verdana" w:hAnsi="Verdana"/>
          <w:sz w:val="20"/>
          <w:szCs w:val="20"/>
        </w:rPr>
      </w:pPr>
    </w:p>
    <w:p w:rsidR="001A66EA" w:rsidRDefault="002808B8" w:rsidP="00C455AD">
      <w:pPr>
        <w:spacing w:after="120" w:line="312" w:lineRule="auto"/>
        <w:jc w:val="both"/>
        <w:rPr>
          <w:rFonts w:ascii="Verdana" w:hAnsi="Verdana"/>
          <w:sz w:val="20"/>
          <w:szCs w:val="20"/>
        </w:rPr>
      </w:pPr>
      <w:r>
        <w:rPr>
          <w:rFonts w:ascii="Verdana" w:hAnsi="Verdana"/>
          <w:sz w:val="20"/>
          <w:szCs w:val="20"/>
        </w:rPr>
        <w:t>Anhang / Mustervertrag zum Kreisschreiben vom 26. November 2012 der DJI des Kt ZH</w:t>
      </w:r>
    </w:p>
    <w:p w:rsidR="00A8777A" w:rsidRPr="00C455AD" w:rsidRDefault="002808B8" w:rsidP="00C455AD">
      <w:pPr>
        <w:spacing w:after="120" w:line="312" w:lineRule="auto"/>
        <w:jc w:val="both"/>
        <w:rPr>
          <w:rFonts w:ascii="Verdana" w:hAnsi="Verdana"/>
          <w:sz w:val="20"/>
          <w:szCs w:val="20"/>
        </w:rPr>
      </w:pPr>
      <w:r>
        <w:rPr>
          <w:noProof/>
          <w:lang w:eastAsia="de-CH"/>
        </w:rPr>
        <w:lastRenderedPageBreak/>
        <w:drawing>
          <wp:inline distT="0" distB="0" distL="0" distR="0" wp14:anchorId="062D04B5" wp14:editId="081A3972">
            <wp:extent cx="4910683" cy="7877175"/>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11427" cy="7878369"/>
                    </a:xfrm>
                    <a:prstGeom prst="rect">
                      <a:avLst/>
                    </a:prstGeom>
                  </pic:spPr>
                </pic:pic>
              </a:graphicData>
            </a:graphic>
          </wp:inline>
        </w:drawing>
      </w:r>
      <w:r w:rsidR="00A8777A">
        <w:rPr>
          <w:noProof/>
          <w:lang w:eastAsia="de-CH"/>
        </w:rPr>
        <w:drawing>
          <wp:inline distT="0" distB="0" distL="0" distR="0" wp14:anchorId="4F600DCF" wp14:editId="6CFE9F16">
            <wp:extent cx="4905375" cy="1006463"/>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05375" cy="1006463"/>
                    </a:xfrm>
                    <a:prstGeom prst="rect">
                      <a:avLst/>
                    </a:prstGeom>
                  </pic:spPr>
                </pic:pic>
              </a:graphicData>
            </a:graphic>
          </wp:inline>
        </w:drawing>
      </w:r>
    </w:p>
    <w:sectPr w:rsidR="00A8777A" w:rsidRPr="00C455AD" w:rsidSect="001023EE">
      <w:headerReference w:type="default" r:id="rId10"/>
      <w:footerReference w:type="default" r:id="rId11"/>
      <w:headerReference w:type="first" r:id="rId12"/>
      <w:footerReference w:type="first" r:id="rId13"/>
      <w:pgSz w:w="11907" w:h="16840" w:code="9"/>
      <w:pgMar w:top="1418" w:right="1418" w:bottom="568" w:left="1418" w:header="720" w:footer="284" w:gutter="0"/>
      <w:pgNumType w:start="1" w:chapSep="period"/>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7DD" w:rsidRDefault="004177DD">
      <w:r>
        <w:separator/>
      </w:r>
    </w:p>
  </w:endnote>
  <w:endnote w:type="continuationSeparator" w:id="0">
    <w:p w:rsidR="004177DD" w:rsidRDefault="0041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922132"/>
      <w:docPartObj>
        <w:docPartGallery w:val="Page Numbers (Bottom of Page)"/>
        <w:docPartUnique/>
      </w:docPartObj>
    </w:sdtPr>
    <w:sdtEndPr>
      <w:rPr>
        <w:rFonts w:ascii="Arial" w:hAnsi="Arial"/>
        <w:sz w:val="16"/>
        <w:szCs w:val="16"/>
      </w:rPr>
    </w:sdtEndPr>
    <w:sdtContent>
      <w:p w:rsidR="004177DD" w:rsidRPr="000737A1" w:rsidRDefault="004177DD">
        <w:pPr>
          <w:pStyle w:val="Fuzeile"/>
          <w:jc w:val="right"/>
          <w:rPr>
            <w:rFonts w:ascii="Arial" w:hAnsi="Arial"/>
            <w:sz w:val="16"/>
            <w:szCs w:val="16"/>
          </w:rPr>
        </w:pPr>
        <w:r w:rsidRPr="000737A1">
          <w:rPr>
            <w:rFonts w:ascii="Arial" w:hAnsi="Arial"/>
            <w:sz w:val="16"/>
            <w:szCs w:val="16"/>
          </w:rPr>
          <w:fldChar w:fldCharType="begin"/>
        </w:r>
        <w:r w:rsidRPr="000737A1">
          <w:rPr>
            <w:rFonts w:ascii="Arial" w:hAnsi="Arial"/>
            <w:sz w:val="16"/>
            <w:szCs w:val="16"/>
          </w:rPr>
          <w:instrText>PAGE   \* MERGEFORMAT</w:instrText>
        </w:r>
        <w:r w:rsidRPr="000737A1">
          <w:rPr>
            <w:rFonts w:ascii="Arial" w:hAnsi="Arial"/>
            <w:sz w:val="16"/>
            <w:szCs w:val="16"/>
          </w:rPr>
          <w:fldChar w:fldCharType="separate"/>
        </w:r>
        <w:r w:rsidR="003F096C" w:rsidRPr="003F096C">
          <w:rPr>
            <w:rFonts w:ascii="Arial" w:hAnsi="Arial"/>
            <w:noProof/>
            <w:sz w:val="16"/>
            <w:szCs w:val="16"/>
            <w:lang w:val="de-DE"/>
          </w:rPr>
          <w:t>2</w:t>
        </w:r>
        <w:r w:rsidRPr="000737A1">
          <w:rPr>
            <w:rFonts w:ascii="Arial" w:hAnsi="Arial"/>
            <w:sz w:val="16"/>
            <w:szCs w:val="16"/>
          </w:rPr>
          <w:fldChar w:fldCharType="end"/>
        </w:r>
      </w:p>
    </w:sdtContent>
  </w:sdt>
  <w:p w:rsidR="004177DD" w:rsidRDefault="004177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2F0" w:rsidRPr="006D422D" w:rsidRDefault="00D96D6C" w:rsidP="00545A49">
    <w:pPr>
      <w:pStyle w:val="Fuzeile"/>
      <w:pBdr>
        <w:top w:val="single" w:sz="4" w:space="1" w:color="auto"/>
      </w:pBdr>
      <w:rPr>
        <w:rFonts w:ascii="Arial" w:hAnsi="Arial"/>
        <w:sz w:val="16"/>
        <w:szCs w:val="16"/>
      </w:rPr>
    </w:pPr>
    <w:r>
      <w:rPr>
        <w:rFonts w:ascii="Arial" w:hAnsi="Arial"/>
        <w:sz w:val="16"/>
        <w:szCs w:val="16"/>
      </w:rPr>
      <w:t xml:space="preserve">KOKES Handbuch </w:t>
    </w:r>
    <w:r w:rsidR="00F207D4">
      <w:rPr>
        <w:rFonts w:ascii="Arial" w:hAnsi="Arial"/>
        <w:sz w:val="16"/>
        <w:szCs w:val="16"/>
      </w:rPr>
      <w:t>P</w:t>
    </w:r>
    <w:r>
      <w:rPr>
        <w:rFonts w:ascii="Arial" w:hAnsi="Arial"/>
        <w:sz w:val="16"/>
        <w:szCs w:val="16"/>
      </w:rPr>
      <w:t xml:space="preserve">riMa Version </w:t>
    </w:r>
    <w:r w:rsidR="008202F0">
      <w:rPr>
        <w:rFonts w:ascii="Arial" w:hAnsi="Arial"/>
        <w:sz w:val="16"/>
        <w:szCs w:val="16"/>
      </w:rPr>
      <w:t>KESB Bezirk Dielsdorf</w:t>
    </w:r>
    <w:r w:rsidR="008202F0">
      <w:rPr>
        <w:rFonts w:ascii="Arial" w:hAnsi="Arial"/>
        <w:sz w:val="16"/>
        <w:szCs w:val="16"/>
      </w:rPr>
      <w:tab/>
    </w:r>
    <w:r w:rsidR="008202F0">
      <w:rPr>
        <w:rFonts w:ascii="Arial" w:hAnsi="Arial"/>
        <w:sz w:val="16"/>
        <w:szCs w:val="16"/>
      </w:rPr>
      <w:tab/>
      <w:t>Anhang 2</w:t>
    </w:r>
    <w:r w:rsidR="000F6E29">
      <w:rPr>
        <w:rFonts w:ascii="Arial" w:hAnsi="Arial"/>
        <w:sz w:val="16"/>
        <w:szCs w:val="16"/>
      </w:rPr>
      <w:t>5</w:t>
    </w:r>
  </w:p>
  <w:p w:rsidR="004177DD" w:rsidRPr="008202F0" w:rsidRDefault="00F207D4" w:rsidP="00E82F9D">
    <w:pPr>
      <w:pStyle w:val="Fuzeile"/>
      <w:pBdr>
        <w:top w:val="single" w:sz="4" w:space="1" w:color="auto"/>
      </w:pBdr>
      <w:rPr>
        <w:rFonts w:ascii="Arial" w:hAnsi="Arial"/>
        <w:sz w:val="16"/>
        <w:szCs w:val="16"/>
      </w:rPr>
    </w:pPr>
    <w:r>
      <w:rPr>
        <w:rFonts w:ascii="Arial" w:hAnsi="Arial"/>
        <w:sz w:val="16"/>
        <w:szCs w:val="16"/>
      </w:rPr>
      <w:t>Januar 2024</w:t>
    </w:r>
    <w:r w:rsidR="008202F0" w:rsidRPr="006D422D">
      <w:rPr>
        <w:rFonts w:ascii="Arial" w:hAnsi="Arial"/>
        <w:sz w:val="16"/>
        <w:szCs w:val="16"/>
      </w:rPr>
      <w:tab/>
    </w:r>
    <w:r w:rsidR="008202F0" w:rsidRPr="006D422D">
      <w:rPr>
        <w:rFonts w:ascii="Arial" w:hAnsi="Arial"/>
        <w:sz w:val="16"/>
        <w:szCs w:val="16"/>
      </w:rPr>
      <w:tab/>
    </w:r>
    <w:r w:rsidR="00E82F9D">
      <w:rPr>
        <w:rFonts w:ascii="Arial" w:hAnsi="Arial"/>
        <w:sz w:val="16"/>
        <w:szCs w:val="16"/>
      </w:rPr>
      <w:t xml:space="preserve"> Merkblatt </w:t>
    </w:r>
    <w:r w:rsidR="008202F0" w:rsidRPr="006D422D">
      <w:rPr>
        <w:rFonts w:ascii="Arial" w:hAnsi="Arial"/>
        <w:sz w:val="16"/>
        <w:szCs w:val="16"/>
      </w:rPr>
      <w:t>Vermögensverwaltung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7DD" w:rsidRDefault="004177DD">
      <w:r>
        <w:separator/>
      </w:r>
    </w:p>
  </w:footnote>
  <w:footnote w:type="continuationSeparator" w:id="0">
    <w:p w:rsidR="004177DD" w:rsidRDefault="00417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7DD" w:rsidRDefault="004177DD" w:rsidP="00C45AE1">
    <w:pPr>
      <w:pStyle w:val="Kopfzeile"/>
    </w:pPr>
  </w:p>
  <w:p w:rsidR="004177DD" w:rsidRDefault="004177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7DD" w:rsidRDefault="004177DD">
    <w:pPr>
      <w:pStyle w:val="Kopfzeile"/>
    </w:pPr>
    <w:r>
      <w:rPr>
        <w:noProof/>
        <w:lang w:eastAsia="de-CH"/>
      </w:rPr>
      <w:drawing>
        <wp:anchor distT="0" distB="0" distL="114300" distR="114300" simplePos="0" relativeHeight="251656191" behindDoc="1" locked="0" layoutInCell="1" allowOverlap="1" wp14:anchorId="0449187F" wp14:editId="033D61DC">
          <wp:simplePos x="0" y="0"/>
          <wp:positionH relativeFrom="column">
            <wp:posOffset>3239770</wp:posOffset>
          </wp:positionH>
          <wp:positionV relativeFrom="paragraph">
            <wp:posOffset>-88900</wp:posOffset>
          </wp:positionV>
          <wp:extent cx="3162300" cy="449580"/>
          <wp:effectExtent l="0" t="0" r="0" b="7620"/>
          <wp:wrapTight wrapText="bothSides">
            <wp:wrapPolygon edited="0">
              <wp:start x="0" y="0"/>
              <wp:lineTo x="0" y="21051"/>
              <wp:lineTo x="21470" y="21051"/>
              <wp:lineTo x="21470" y="0"/>
              <wp:lineTo x="0" y="0"/>
            </wp:wrapPolygon>
          </wp:wrapTight>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4495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hybridMultilevel"/>
    <w:tmpl w:val="482E6C32"/>
    <w:lvl w:ilvl="0" w:tplc="E266299A">
      <w:start w:val="1"/>
      <w:numFmt w:val="bullet"/>
      <w:lvlText w:val=""/>
      <w:lvlJc w:val="left"/>
      <w:pPr>
        <w:tabs>
          <w:tab w:val="num" w:pos="360"/>
        </w:tabs>
        <w:ind w:left="360" w:hanging="360"/>
      </w:pPr>
      <w:rPr>
        <w:rFonts w:ascii="Symbol" w:hAnsi="Symbol" w:hint="default"/>
        <w:color w:val="auto"/>
        <w:sz w:val="22"/>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11A4E"/>
    <w:multiLevelType w:val="hybridMultilevel"/>
    <w:tmpl w:val="A172198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E8562B7"/>
    <w:multiLevelType w:val="hybridMultilevel"/>
    <w:tmpl w:val="66F8A0C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B380967"/>
    <w:multiLevelType w:val="hybridMultilevel"/>
    <w:tmpl w:val="CFBE6718"/>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60C364E7"/>
    <w:multiLevelType w:val="hybridMultilevel"/>
    <w:tmpl w:val="66F8A0C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02"/>
    <w:rsid w:val="00026BB9"/>
    <w:rsid w:val="000342D9"/>
    <w:rsid w:val="00036728"/>
    <w:rsid w:val="00044D55"/>
    <w:rsid w:val="00051E77"/>
    <w:rsid w:val="00053CE9"/>
    <w:rsid w:val="000737A1"/>
    <w:rsid w:val="00080129"/>
    <w:rsid w:val="0008238F"/>
    <w:rsid w:val="00085F25"/>
    <w:rsid w:val="000B31AF"/>
    <w:rsid w:val="000B7D3D"/>
    <w:rsid w:val="000C7A53"/>
    <w:rsid w:val="000E7EEB"/>
    <w:rsid w:val="000F2EF5"/>
    <w:rsid w:val="000F6E29"/>
    <w:rsid w:val="0010077B"/>
    <w:rsid w:val="001023EE"/>
    <w:rsid w:val="00110CCE"/>
    <w:rsid w:val="001152BF"/>
    <w:rsid w:val="00172869"/>
    <w:rsid w:val="00173A3F"/>
    <w:rsid w:val="0019318B"/>
    <w:rsid w:val="001A66EA"/>
    <w:rsid w:val="001B4970"/>
    <w:rsid w:val="001D1253"/>
    <w:rsid w:val="001D78D0"/>
    <w:rsid w:val="001E0DD3"/>
    <w:rsid w:val="001F46AF"/>
    <w:rsid w:val="002138D4"/>
    <w:rsid w:val="00224645"/>
    <w:rsid w:val="0024632C"/>
    <w:rsid w:val="00247D4D"/>
    <w:rsid w:val="002808B8"/>
    <w:rsid w:val="002A06E2"/>
    <w:rsid w:val="002A1378"/>
    <w:rsid w:val="002E79CF"/>
    <w:rsid w:val="0030422B"/>
    <w:rsid w:val="00305CF7"/>
    <w:rsid w:val="00307EDC"/>
    <w:rsid w:val="003115E9"/>
    <w:rsid w:val="0032185D"/>
    <w:rsid w:val="00345666"/>
    <w:rsid w:val="00363B76"/>
    <w:rsid w:val="00375280"/>
    <w:rsid w:val="003753A6"/>
    <w:rsid w:val="00380285"/>
    <w:rsid w:val="003837BC"/>
    <w:rsid w:val="003A0A11"/>
    <w:rsid w:val="003D0703"/>
    <w:rsid w:val="003F096C"/>
    <w:rsid w:val="003F1543"/>
    <w:rsid w:val="003F272C"/>
    <w:rsid w:val="004008CD"/>
    <w:rsid w:val="00411F5B"/>
    <w:rsid w:val="004136CA"/>
    <w:rsid w:val="004177DD"/>
    <w:rsid w:val="0046519A"/>
    <w:rsid w:val="0047235F"/>
    <w:rsid w:val="004A71F1"/>
    <w:rsid w:val="004B0EE3"/>
    <w:rsid w:val="004B2DE4"/>
    <w:rsid w:val="004C0A3B"/>
    <w:rsid w:val="004C6BA8"/>
    <w:rsid w:val="004D7B9B"/>
    <w:rsid w:val="004E16B3"/>
    <w:rsid w:val="004F32D8"/>
    <w:rsid w:val="00523A6C"/>
    <w:rsid w:val="00545846"/>
    <w:rsid w:val="00545A49"/>
    <w:rsid w:val="0054701C"/>
    <w:rsid w:val="00550E44"/>
    <w:rsid w:val="005956D5"/>
    <w:rsid w:val="005A71B2"/>
    <w:rsid w:val="005C4D09"/>
    <w:rsid w:val="005D0420"/>
    <w:rsid w:val="005E3F17"/>
    <w:rsid w:val="00611002"/>
    <w:rsid w:val="006329EA"/>
    <w:rsid w:val="00632C92"/>
    <w:rsid w:val="006447D5"/>
    <w:rsid w:val="00645ED9"/>
    <w:rsid w:val="00655E9E"/>
    <w:rsid w:val="006574B2"/>
    <w:rsid w:val="006612C6"/>
    <w:rsid w:val="00663816"/>
    <w:rsid w:val="00667E73"/>
    <w:rsid w:val="00692A97"/>
    <w:rsid w:val="006933E7"/>
    <w:rsid w:val="006A468D"/>
    <w:rsid w:val="006B4AC5"/>
    <w:rsid w:val="006D4804"/>
    <w:rsid w:val="006E7B20"/>
    <w:rsid w:val="006F5978"/>
    <w:rsid w:val="007052EF"/>
    <w:rsid w:val="007320E3"/>
    <w:rsid w:val="0074358A"/>
    <w:rsid w:val="007477F1"/>
    <w:rsid w:val="00752733"/>
    <w:rsid w:val="007579F9"/>
    <w:rsid w:val="007A1FE2"/>
    <w:rsid w:val="007B1AA5"/>
    <w:rsid w:val="007B3CB6"/>
    <w:rsid w:val="007D03A1"/>
    <w:rsid w:val="007D1CA5"/>
    <w:rsid w:val="007D54DF"/>
    <w:rsid w:val="007D5DF5"/>
    <w:rsid w:val="007F48B0"/>
    <w:rsid w:val="008202F0"/>
    <w:rsid w:val="00843DA4"/>
    <w:rsid w:val="00847273"/>
    <w:rsid w:val="00855638"/>
    <w:rsid w:val="008556B8"/>
    <w:rsid w:val="00866C68"/>
    <w:rsid w:val="008675EC"/>
    <w:rsid w:val="00880331"/>
    <w:rsid w:val="00891ACD"/>
    <w:rsid w:val="00892960"/>
    <w:rsid w:val="00897D93"/>
    <w:rsid w:val="008A5BA5"/>
    <w:rsid w:val="008C40E1"/>
    <w:rsid w:val="00904709"/>
    <w:rsid w:val="00935ED1"/>
    <w:rsid w:val="009454D5"/>
    <w:rsid w:val="009571CD"/>
    <w:rsid w:val="009573B4"/>
    <w:rsid w:val="0096448F"/>
    <w:rsid w:val="009762EA"/>
    <w:rsid w:val="00981376"/>
    <w:rsid w:val="00981FA0"/>
    <w:rsid w:val="0099312D"/>
    <w:rsid w:val="009A36D3"/>
    <w:rsid w:val="009A599D"/>
    <w:rsid w:val="009B6633"/>
    <w:rsid w:val="009C4B38"/>
    <w:rsid w:val="009C5240"/>
    <w:rsid w:val="00A15837"/>
    <w:rsid w:val="00A16C7F"/>
    <w:rsid w:val="00A40408"/>
    <w:rsid w:val="00A40F35"/>
    <w:rsid w:val="00A44F23"/>
    <w:rsid w:val="00A47BE9"/>
    <w:rsid w:val="00A50C07"/>
    <w:rsid w:val="00A62B8F"/>
    <w:rsid w:val="00A650EF"/>
    <w:rsid w:val="00A759C9"/>
    <w:rsid w:val="00A8777A"/>
    <w:rsid w:val="00AA3C9C"/>
    <w:rsid w:val="00AA717E"/>
    <w:rsid w:val="00AC267E"/>
    <w:rsid w:val="00AC5556"/>
    <w:rsid w:val="00AD42F0"/>
    <w:rsid w:val="00B02CD4"/>
    <w:rsid w:val="00B050EB"/>
    <w:rsid w:val="00B10672"/>
    <w:rsid w:val="00B13F52"/>
    <w:rsid w:val="00B30266"/>
    <w:rsid w:val="00B32327"/>
    <w:rsid w:val="00B33702"/>
    <w:rsid w:val="00B664C4"/>
    <w:rsid w:val="00B67B74"/>
    <w:rsid w:val="00B715FF"/>
    <w:rsid w:val="00B77CED"/>
    <w:rsid w:val="00BB3413"/>
    <w:rsid w:val="00BB7892"/>
    <w:rsid w:val="00BD650D"/>
    <w:rsid w:val="00BE391B"/>
    <w:rsid w:val="00BE5F0C"/>
    <w:rsid w:val="00C0381D"/>
    <w:rsid w:val="00C11C65"/>
    <w:rsid w:val="00C21629"/>
    <w:rsid w:val="00C455AD"/>
    <w:rsid w:val="00C45AE1"/>
    <w:rsid w:val="00C75B57"/>
    <w:rsid w:val="00C84115"/>
    <w:rsid w:val="00C8412E"/>
    <w:rsid w:val="00CA42C9"/>
    <w:rsid w:val="00CC2071"/>
    <w:rsid w:val="00CC56A8"/>
    <w:rsid w:val="00CE0A70"/>
    <w:rsid w:val="00CF5A66"/>
    <w:rsid w:val="00CF7D90"/>
    <w:rsid w:val="00D02BCD"/>
    <w:rsid w:val="00D11119"/>
    <w:rsid w:val="00D1599E"/>
    <w:rsid w:val="00D4217C"/>
    <w:rsid w:val="00D44D25"/>
    <w:rsid w:val="00D50333"/>
    <w:rsid w:val="00D7030E"/>
    <w:rsid w:val="00D96D6C"/>
    <w:rsid w:val="00DB40A5"/>
    <w:rsid w:val="00DD20C5"/>
    <w:rsid w:val="00DF24C8"/>
    <w:rsid w:val="00E20656"/>
    <w:rsid w:val="00E30DB1"/>
    <w:rsid w:val="00E31F4D"/>
    <w:rsid w:val="00E358CB"/>
    <w:rsid w:val="00E41C02"/>
    <w:rsid w:val="00E56284"/>
    <w:rsid w:val="00E7345C"/>
    <w:rsid w:val="00E82F9D"/>
    <w:rsid w:val="00E94FA4"/>
    <w:rsid w:val="00EA1AA7"/>
    <w:rsid w:val="00ED0BA3"/>
    <w:rsid w:val="00ED77DD"/>
    <w:rsid w:val="00EE2CA7"/>
    <w:rsid w:val="00EF2F7C"/>
    <w:rsid w:val="00EF5E1C"/>
    <w:rsid w:val="00EF60D4"/>
    <w:rsid w:val="00F00F6A"/>
    <w:rsid w:val="00F073A9"/>
    <w:rsid w:val="00F207D4"/>
    <w:rsid w:val="00F35F4D"/>
    <w:rsid w:val="00F4064B"/>
    <w:rsid w:val="00F41A42"/>
    <w:rsid w:val="00F61936"/>
    <w:rsid w:val="00F7667A"/>
    <w:rsid w:val="00F840B3"/>
    <w:rsid w:val="00F97314"/>
    <w:rsid w:val="00FA5B07"/>
    <w:rsid w:val="00FF2E3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FDF60973-2879-4ED5-B124-5E2244D7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47D4D"/>
    <w:rPr>
      <w:rFonts w:ascii="Century Gothic" w:hAnsi="Century Gothic"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6519A"/>
    <w:pPr>
      <w:tabs>
        <w:tab w:val="center" w:pos="4536"/>
        <w:tab w:val="right" w:pos="9072"/>
      </w:tabs>
    </w:pPr>
  </w:style>
  <w:style w:type="paragraph" w:styleId="Fuzeile">
    <w:name w:val="footer"/>
    <w:basedOn w:val="Standard"/>
    <w:link w:val="FuzeileZchn"/>
    <w:uiPriority w:val="99"/>
    <w:rsid w:val="0046519A"/>
    <w:pPr>
      <w:tabs>
        <w:tab w:val="center" w:pos="4536"/>
        <w:tab w:val="right" w:pos="9072"/>
      </w:tabs>
    </w:pPr>
  </w:style>
  <w:style w:type="paragraph" w:styleId="Liste">
    <w:name w:val="List"/>
    <w:basedOn w:val="Standard"/>
    <w:rsid w:val="007F48B0"/>
    <w:pPr>
      <w:ind w:left="283" w:hanging="283"/>
    </w:pPr>
  </w:style>
  <w:style w:type="paragraph" w:styleId="Sprechblasentext">
    <w:name w:val="Balloon Text"/>
    <w:basedOn w:val="Standard"/>
    <w:semiHidden/>
    <w:rsid w:val="002A06E2"/>
    <w:rPr>
      <w:rFonts w:ascii="Tahoma" w:hAnsi="Tahoma" w:cs="Tahoma"/>
      <w:sz w:val="16"/>
      <w:szCs w:val="16"/>
    </w:rPr>
  </w:style>
  <w:style w:type="table" w:styleId="Tabellenraster">
    <w:name w:val="Table Grid"/>
    <w:basedOn w:val="NormaleTabelle"/>
    <w:rsid w:val="00E73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1F46AF"/>
    <w:rPr>
      <w:rFonts w:ascii="Century Gothic" w:hAnsi="Century Gothic" w:cs="Arial"/>
      <w:sz w:val="24"/>
      <w:szCs w:val="24"/>
      <w:lang w:eastAsia="de-DE"/>
    </w:rPr>
  </w:style>
  <w:style w:type="character" w:styleId="Hyperlink">
    <w:name w:val="Hyperlink"/>
    <w:basedOn w:val="Absatz-Standardschriftart"/>
    <w:rsid w:val="00053CE9"/>
    <w:rPr>
      <w:color w:val="0000FF" w:themeColor="hyperlink"/>
      <w:u w:val="single"/>
    </w:rPr>
  </w:style>
  <w:style w:type="character" w:customStyle="1" w:styleId="FuzeileZchn">
    <w:name w:val="Fußzeile Zchn"/>
    <w:basedOn w:val="Absatz-Standardschriftart"/>
    <w:link w:val="Fuzeile"/>
    <w:uiPriority w:val="99"/>
    <w:rsid w:val="003115E9"/>
    <w:rPr>
      <w:rFonts w:ascii="Century Gothic" w:hAnsi="Century Gothic" w:cs="Arial"/>
      <w:sz w:val="24"/>
      <w:szCs w:val="24"/>
      <w:lang w:eastAsia="de-DE"/>
    </w:rPr>
  </w:style>
  <w:style w:type="paragraph" w:styleId="Listenabsatz">
    <w:name w:val="List Paragraph"/>
    <w:basedOn w:val="Standard"/>
    <w:uiPriority w:val="34"/>
    <w:qFormat/>
    <w:rsid w:val="0061100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752408">
      <w:bodyDiv w:val="1"/>
      <w:marLeft w:val="0"/>
      <w:marRight w:val="0"/>
      <w:marTop w:val="0"/>
      <w:marBottom w:val="0"/>
      <w:divBdr>
        <w:top w:val="none" w:sz="0" w:space="0" w:color="auto"/>
        <w:left w:val="none" w:sz="0" w:space="0" w:color="auto"/>
        <w:bottom w:val="none" w:sz="0" w:space="0" w:color="auto"/>
        <w:right w:val="none" w:sz="0" w:space="0" w:color="auto"/>
      </w:divBdr>
    </w:div>
    <w:div w:id="758213832">
      <w:bodyDiv w:val="1"/>
      <w:marLeft w:val="0"/>
      <w:marRight w:val="0"/>
      <w:marTop w:val="0"/>
      <w:marBottom w:val="0"/>
      <w:divBdr>
        <w:top w:val="none" w:sz="0" w:space="0" w:color="auto"/>
        <w:left w:val="none" w:sz="0" w:space="0" w:color="auto"/>
        <w:bottom w:val="none" w:sz="0" w:space="0" w:color="auto"/>
        <w:right w:val="none" w:sz="0" w:space="0" w:color="auto"/>
      </w:divBdr>
    </w:div>
    <w:div w:id="1144394399">
      <w:bodyDiv w:val="1"/>
      <w:marLeft w:val="0"/>
      <w:marRight w:val="0"/>
      <w:marTop w:val="0"/>
      <w:marBottom w:val="0"/>
      <w:divBdr>
        <w:top w:val="none" w:sz="0" w:space="0" w:color="auto"/>
        <w:left w:val="none" w:sz="0" w:space="0" w:color="auto"/>
        <w:bottom w:val="none" w:sz="0" w:space="0" w:color="auto"/>
        <w:right w:val="none" w:sz="0" w:space="0" w:color="auto"/>
      </w:divBdr>
    </w:div>
    <w:div w:id="1161848488">
      <w:bodyDiv w:val="1"/>
      <w:marLeft w:val="0"/>
      <w:marRight w:val="0"/>
      <w:marTop w:val="0"/>
      <w:marBottom w:val="0"/>
      <w:divBdr>
        <w:top w:val="none" w:sz="0" w:space="0" w:color="auto"/>
        <w:left w:val="none" w:sz="0" w:space="0" w:color="auto"/>
        <w:bottom w:val="none" w:sz="0" w:space="0" w:color="auto"/>
        <w:right w:val="none" w:sz="0" w:space="0" w:color="auto"/>
      </w:divBdr>
    </w:div>
    <w:div w:id="1413353448">
      <w:bodyDiv w:val="1"/>
      <w:marLeft w:val="0"/>
      <w:marRight w:val="0"/>
      <w:marTop w:val="0"/>
      <w:marBottom w:val="0"/>
      <w:divBdr>
        <w:top w:val="none" w:sz="0" w:space="0" w:color="auto"/>
        <w:left w:val="none" w:sz="0" w:space="0" w:color="auto"/>
        <w:bottom w:val="none" w:sz="0" w:space="0" w:color="auto"/>
        <w:right w:val="none" w:sz="0" w:space="0" w:color="auto"/>
      </w:divBdr>
    </w:div>
    <w:div w:id="213840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Q:\Vorlagen\KESB\Brief%20Kanzlei%20sw.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3A191-75F9-459F-8735-A5637392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Kanzlei sw</Template>
  <TotalTime>0</TotalTime>
  <Pages>4</Pages>
  <Words>681</Words>
  <Characters>4293</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Brief Kanzlei</vt:lpstr>
    </vt:vector>
  </TitlesOfParts>
  <Company>ZV SD Dielsdorf</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Kanzlei</dc:title>
  <dc:creator>Lucien Brühlmann</dc:creator>
  <cp:lastModifiedBy>Huber Ivana</cp:lastModifiedBy>
  <cp:revision>2</cp:revision>
  <cp:lastPrinted>2014-12-05T09:46:00Z</cp:lastPrinted>
  <dcterms:created xsi:type="dcterms:W3CDTF">2024-08-02T09:14:00Z</dcterms:created>
  <dcterms:modified xsi:type="dcterms:W3CDTF">2024-08-02T09:14:00Z</dcterms:modified>
</cp:coreProperties>
</file>